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D77C3D" w14:paraId="097B9101" w14:textId="77777777" w:rsidTr="00D25CB4">
        <w:tc>
          <w:tcPr>
            <w:tcW w:w="4786" w:type="dxa"/>
            <w:hideMark/>
          </w:tcPr>
          <w:p w14:paraId="7984BE10" w14:textId="77777777" w:rsidR="007E1D85" w:rsidRPr="00A63448" w:rsidRDefault="007E1D85" w:rsidP="009561FD">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747C71B5" w14:textId="77777777" w:rsidR="00523D82" w:rsidRPr="005D4D1C" w:rsidRDefault="000A0115" w:rsidP="0078568D">
            <w:pPr>
              <w:widowControl w:val="0"/>
              <w:spacing w:after="0" w:line="240" w:lineRule="auto"/>
              <w:rPr>
                <w:rFonts w:ascii="Times New Roman" w:eastAsia="Times New Roman" w:hAnsi="Times New Roman"/>
                <w:snapToGrid w:val="0"/>
                <w:sz w:val="24"/>
                <w:szCs w:val="24"/>
                <w:lang w:eastAsia="ru-RU"/>
              </w:rPr>
            </w:pPr>
            <w:r w:rsidRPr="005D4D1C">
              <w:rPr>
                <w:rFonts w:ascii="Times New Roman" w:eastAsia="Times New Roman" w:hAnsi="Times New Roman"/>
                <w:snapToGrid w:val="0"/>
                <w:sz w:val="24"/>
                <w:szCs w:val="24"/>
                <w:lang w:val="kk-KZ" w:eastAsia="ru-RU"/>
              </w:rPr>
              <w:t xml:space="preserve">«Қазақстан Республикасы  </w:t>
            </w:r>
          </w:p>
          <w:p w14:paraId="65231D5F" w14:textId="77777777" w:rsidR="00653617" w:rsidRPr="00C473D3" w:rsidRDefault="000A0115" w:rsidP="0078568D">
            <w:pPr>
              <w:autoSpaceDE w:val="0"/>
              <w:autoSpaceDN w:val="0"/>
              <w:spacing w:after="0" w:line="240" w:lineRule="auto"/>
              <w:rPr>
                <w:rFonts w:ascii="Times New Roman" w:eastAsia="Times New Roman" w:hAnsi="Times New Roman"/>
                <w:sz w:val="24"/>
                <w:szCs w:val="24"/>
                <w:lang w:eastAsia="ru-RU"/>
              </w:rPr>
            </w:pPr>
            <w:r w:rsidRPr="00C473D3">
              <w:rPr>
                <w:rFonts w:ascii="Times New Roman" w:eastAsia="Times New Roman" w:hAnsi="Times New Roman"/>
                <w:sz w:val="24"/>
                <w:szCs w:val="24"/>
                <w:lang w:val="kk-KZ" w:eastAsia="ru-RU"/>
              </w:rPr>
              <w:t xml:space="preserve">Денсаулық сақтау министрлігі </w:t>
            </w:r>
          </w:p>
          <w:p w14:paraId="0F2A9FA7" w14:textId="77777777" w:rsidR="00523D82" w:rsidRPr="00C473D3" w:rsidRDefault="000A0115" w:rsidP="0078568D">
            <w:pPr>
              <w:autoSpaceDE w:val="0"/>
              <w:autoSpaceDN w:val="0"/>
              <w:spacing w:after="0" w:line="240" w:lineRule="auto"/>
              <w:rPr>
                <w:rFonts w:ascii="Times New Roman" w:eastAsia="Times New Roman" w:hAnsi="Times New Roman"/>
                <w:sz w:val="24"/>
                <w:szCs w:val="24"/>
                <w:lang w:eastAsia="ru-RU"/>
              </w:rPr>
            </w:pPr>
            <w:r w:rsidRPr="00C473D3">
              <w:rPr>
                <w:rFonts w:ascii="Times New Roman" w:eastAsia="Times New Roman" w:hAnsi="Times New Roman"/>
                <w:sz w:val="24"/>
                <w:szCs w:val="24"/>
                <w:lang w:val="kk-KZ" w:eastAsia="ru-RU"/>
              </w:rPr>
              <w:t xml:space="preserve">Медициналық және </w:t>
            </w:r>
          </w:p>
          <w:p w14:paraId="713B90D9" w14:textId="77777777" w:rsidR="00523D82" w:rsidRPr="00C473D3" w:rsidRDefault="000A0115" w:rsidP="0078568D">
            <w:pPr>
              <w:keepNext/>
              <w:autoSpaceDE w:val="0"/>
              <w:autoSpaceDN w:val="0"/>
              <w:spacing w:after="0" w:line="240" w:lineRule="auto"/>
              <w:outlineLvl w:val="2"/>
              <w:rPr>
                <w:rFonts w:ascii="Times New Roman" w:eastAsia="Times New Roman" w:hAnsi="Times New Roman"/>
                <w:bCs/>
                <w:sz w:val="24"/>
                <w:szCs w:val="24"/>
                <w:lang w:val="uk-UA" w:eastAsia="ru-RU"/>
              </w:rPr>
            </w:pPr>
            <w:r w:rsidRPr="00C473D3">
              <w:rPr>
                <w:rFonts w:ascii="Times New Roman" w:eastAsia="Times New Roman" w:hAnsi="Times New Roman"/>
                <w:bCs/>
                <w:sz w:val="24"/>
                <w:szCs w:val="24"/>
                <w:lang w:val="kk-KZ" w:eastAsia="ru-RU"/>
              </w:rPr>
              <w:t xml:space="preserve">фармацевтикалық бақылау </w:t>
            </w:r>
          </w:p>
          <w:p w14:paraId="1530C41A" w14:textId="77777777" w:rsidR="00523D82" w:rsidRPr="00C473D3" w:rsidRDefault="000A0115" w:rsidP="0078568D">
            <w:pPr>
              <w:keepNext/>
              <w:autoSpaceDE w:val="0"/>
              <w:autoSpaceDN w:val="0"/>
              <w:spacing w:after="0" w:line="240" w:lineRule="auto"/>
              <w:outlineLvl w:val="3"/>
              <w:rPr>
                <w:rFonts w:ascii="Times New Roman" w:eastAsia="Times New Roman" w:hAnsi="Times New Roman"/>
                <w:bCs/>
                <w:sz w:val="24"/>
                <w:szCs w:val="24"/>
                <w:lang w:eastAsia="ru-RU"/>
              </w:rPr>
            </w:pPr>
            <w:r w:rsidRPr="00C473D3">
              <w:rPr>
                <w:rFonts w:ascii="Times New Roman" w:eastAsia="Times New Roman" w:hAnsi="Times New Roman"/>
                <w:bCs/>
                <w:sz w:val="24"/>
                <w:szCs w:val="24"/>
                <w:lang w:val="kk-KZ" w:eastAsia="ru-RU"/>
              </w:rPr>
              <w:t>комитеті» РММ төрағасының</w:t>
            </w:r>
          </w:p>
          <w:p w14:paraId="0ADFE93F" w14:textId="3B1E319E" w:rsidR="00523D82" w:rsidRPr="00220B35" w:rsidRDefault="000A0115" w:rsidP="0078568D">
            <w:pPr>
              <w:autoSpaceDE w:val="0"/>
              <w:autoSpaceDN w:val="0"/>
              <w:spacing w:after="0" w:line="240" w:lineRule="auto"/>
              <w:rPr>
                <w:rFonts w:ascii="Times New Roman" w:eastAsia="Times New Roman" w:hAnsi="Times New Roman"/>
                <w:sz w:val="24"/>
                <w:szCs w:val="24"/>
                <w:lang w:val="en-US" w:eastAsia="ru-RU"/>
              </w:rPr>
            </w:pPr>
            <w:r w:rsidRPr="00220B35">
              <w:rPr>
                <w:rFonts w:ascii="Times New Roman" w:eastAsia="Times New Roman" w:hAnsi="Times New Roman"/>
                <w:sz w:val="24"/>
                <w:szCs w:val="24"/>
                <w:lang w:val="kk-KZ" w:eastAsia="ru-RU"/>
              </w:rPr>
              <w:t>20</w:t>
            </w:r>
            <w:r w:rsidR="00220B35" w:rsidRPr="00220B35">
              <w:rPr>
                <w:rFonts w:ascii="Times New Roman" w:eastAsia="Times New Roman" w:hAnsi="Times New Roman"/>
                <w:sz w:val="24"/>
                <w:szCs w:val="24"/>
                <w:lang w:val="en-US" w:eastAsia="ru-RU"/>
              </w:rPr>
              <w:t>25</w:t>
            </w:r>
            <w:r w:rsidRPr="00220B35">
              <w:rPr>
                <w:rFonts w:ascii="Times New Roman" w:eastAsia="Times New Roman" w:hAnsi="Times New Roman"/>
                <w:sz w:val="24"/>
                <w:szCs w:val="24"/>
                <w:lang w:val="kk-KZ" w:eastAsia="ru-RU"/>
              </w:rPr>
              <w:t>   ж. «</w:t>
            </w:r>
            <w:r w:rsidR="00220B35" w:rsidRPr="00220B35">
              <w:rPr>
                <w:rFonts w:ascii="Times New Roman" w:eastAsia="Times New Roman" w:hAnsi="Times New Roman"/>
                <w:sz w:val="24"/>
                <w:szCs w:val="24"/>
                <w:lang w:val="en-US" w:eastAsia="ru-RU"/>
              </w:rPr>
              <w:t>25</w:t>
            </w:r>
            <w:r w:rsidRPr="00220B35">
              <w:rPr>
                <w:rFonts w:ascii="Times New Roman" w:eastAsia="Times New Roman" w:hAnsi="Times New Roman"/>
                <w:sz w:val="24"/>
                <w:szCs w:val="24"/>
                <w:lang w:val="kk-KZ" w:eastAsia="ru-RU"/>
              </w:rPr>
              <w:t xml:space="preserve">» </w:t>
            </w:r>
            <w:r w:rsidR="00220B35" w:rsidRPr="00220B35">
              <w:rPr>
                <w:rFonts w:ascii="Times New Roman" w:eastAsia="Times New Roman" w:hAnsi="Times New Roman"/>
                <w:sz w:val="24"/>
                <w:szCs w:val="24"/>
                <w:lang w:val="en-US" w:eastAsia="ru-RU"/>
              </w:rPr>
              <w:t>07</w:t>
            </w:r>
          </w:p>
          <w:p w14:paraId="4B03DA85" w14:textId="1171E611" w:rsidR="005D4D1C" w:rsidRDefault="000A0115" w:rsidP="0078568D">
            <w:pPr>
              <w:widowControl w:val="0"/>
              <w:spacing w:after="0" w:line="240" w:lineRule="auto"/>
              <w:rPr>
                <w:rFonts w:ascii="Times New Roman" w:eastAsia="Times New Roman" w:hAnsi="Times New Roman"/>
                <w:snapToGrid w:val="0"/>
                <w:sz w:val="24"/>
                <w:szCs w:val="24"/>
                <w:lang w:val="kk-KZ" w:eastAsia="ru-RU"/>
              </w:rPr>
            </w:pPr>
            <w:r w:rsidRPr="00C473D3">
              <w:rPr>
                <w:rFonts w:ascii="Times New Roman" w:eastAsia="Times New Roman" w:hAnsi="Times New Roman"/>
                <w:snapToGrid w:val="0"/>
                <w:sz w:val="24"/>
                <w:szCs w:val="24"/>
                <w:lang w:val="kk-KZ" w:eastAsia="ru-RU"/>
              </w:rPr>
              <w:t>№</w:t>
            </w:r>
            <w:r w:rsidR="00220B35">
              <w:rPr>
                <w:rFonts w:ascii="Times New Roman" w:eastAsia="Times New Roman" w:hAnsi="Times New Roman"/>
                <w:snapToGrid w:val="0"/>
                <w:sz w:val="24"/>
                <w:szCs w:val="24"/>
                <w:lang w:val="en-US" w:eastAsia="ru-RU"/>
              </w:rPr>
              <w:t>N087710</w:t>
            </w:r>
            <w:r w:rsidRPr="00C473D3">
              <w:rPr>
                <w:rFonts w:ascii="Times New Roman" w:eastAsia="Times New Roman" w:hAnsi="Times New Roman"/>
                <w:snapToGrid w:val="0"/>
                <w:sz w:val="24"/>
                <w:szCs w:val="24"/>
                <w:lang w:val="kk-KZ" w:eastAsia="ru-RU"/>
              </w:rPr>
              <w:t xml:space="preserve"> бұйрығымен  </w:t>
            </w:r>
          </w:p>
          <w:p w14:paraId="6DE308D7" w14:textId="77777777" w:rsidR="00523D82" w:rsidRPr="005D4D1C" w:rsidRDefault="000A0115" w:rsidP="0078568D">
            <w:pPr>
              <w:widowControl w:val="0"/>
              <w:spacing w:after="0" w:line="240" w:lineRule="auto"/>
              <w:rPr>
                <w:rFonts w:ascii="Times New Roman" w:eastAsia="Batang" w:hAnsi="Times New Roman"/>
                <w:b/>
                <w:snapToGrid w:val="0"/>
                <w:sz w:val="24"/>
                <w:szCs w:val="24"/>
                <w:lang w:eastAsia="ru-RU"/>
              </w:rPr>
            </w:pPr>
            <w:r w:rsidRPr="005D4D1C">
              <w:rPr>
                <w:rFonts w:ascii="Times New Roman" w:eastAsia="Times New Roman" w:hAnsi="Times New Roman"/>
                <w:b/>
                <w:snapToGrid w:val="0"/>
                <w:sz w:val="24"/>
                <w:szCs w:val="24"/>
                <w:lang w:val="kk-KZ" w:eastAsia="ru-RU"/>
              </w:rPr>
              <w:t>БЕКІТІЛГЕН</w:t>
            </w:r>
          </w:p>
        </w:tc>
        <w:tc>
          <w:tcPr>
            <w:tcW w:w="4536" w:type="dxa"/>
          </w:tcPr>
          <w:p w14:paraId="39D708DB" w14:textId="77777777" w:rsidR="00523D82" w:rsidRPr="00C473D3" w:rsidRDefault="000A0115" w:rsidP="0078568D">
            <w:pPr>
              <w:widowControl w:val="0"/>
              <w:spacing w:after="0" w:line="240" w:lineRule="auto"/>
              <w:jc w:val="center"/>
              <w:rPr>
                <w:rFonts w:ascii="Times New Roman" w:eastAsia="Times New Roman" w:hAnsi="Times New Roman"/>
                <w:b/>
                <w:snapToGrid w:val="0"/>
                <w:sz w:val="24"/>
                <w:szCs w:val="24"/>
                <w:lang w:eastAsia="ru-RU"/>
              </w:rPr>
            </w:pPr>
            <w:r w:rsidRPr="00C473D3">
              <w:rPr>
                <w:rFonts w:ascii="Times New Roman" w:eastAsia="Times New Roman" w:hAnsi="Times New Roman"/>
                <w:b/>
                <w:snapToGrid w:val="0"/>
                <w:sz w:val="24"/>
                <w:szCs w:val="24"/>
                <w:lang w:eastAsia="ru-RU"/>
              </w:rPr>
              <w:t xml:space="preserve"> </w:t>
            </w:r>
          </w:p>
        </w:tc>
      </w:tr>
      <w:tr w:rsidR="00D77C3D" w14:paraId="722AC329" w14:textId="77777777" w:rsidTr="00D25CB4">
        <w:tc>
          <w:tcPr>
            <w:tcW w:w="4786" w:type="dxa"/>
          </w:tcPr>
          <w:p w14:paraId="647685DD" w14:textId="77777777" w:rsidR="00523D82" w:rsidRPr="00C473D3"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31FA5976" w14:textId="77777777" w:rsidR="00523D82" w:rsidRPr="00C473D3"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6C46C61A" w14:textId="77777777" w:rsidR="00523D82" w:rsidRPr="00C473D3"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6D8DF580" w14:textId="77777777" w:rsidR="00280121" w:rsidRPr="00C473D3" w:rsidRDefault="00280121" w:rsidP="006A4DC8">
      <w:pPr>
        <w:autoSpaceDE w:val="0"/>
        <w:autoSpaceDN w:val="0"/>
        <w:spacing w:after="0" w:line="240" w:lineRule="auto"/>
        <w:rPr>
          <w:rFonts w:ascii="Times New Roman" w:eastAsia="Times New Roman" w:hAnsi="Times New Roman"/>
          <w:b/>
          <w:sz w:val="24"/>
          <w:szCs w:val="24"/>
          <w:lang w:eastAsia="ru-RU"/>
        </w:rPr>
      </w:pPr>
    </w:p>
    <w:p w14:paraId="7A102835" w14:textId="77777777" w:rsidR="00D76048" w:rsidRPr="00C473D3" w:rsidRDefault="000A0115" w:rsidP="0078568D">
      <w:pPr>
        <w:autoSpaceDE w:val="0"/>
        <w:autoSpaceDN w:val="0"/>
        <w:spacing w:after="0" w:line="240" w:lineRule="auto"/>
        <w:jc w:val="center"/>
        <w:rPr>
          <w:rFonts w:ascii="Times New Roman" w:eastAsia="Times New Roman" w:hAnsi="Times New Roman"/>
          <w:b/>
          <w:sz w:val="24"/>
          <w:szCs w:val="24"/>
          <w:lang w:eastAsia="ru-RU"/>
        </w:rPr>
      </w:pPr>
      <w:r w:rsidRPr="00C473D3">
        <w:rPr>
          <w:rFonts w:ascii="Times New Roman" w:eastAsia="Times New Roman" w:hAnsi="Times New Roman"/>
          <w:b/>
          <w:sz w:val="24"/>
          <w:szCs w:val="24"/>
          <w:lang w:val="kk-KZ" w:eastAsia="ru-RU"/>
        </w:rPr>
        <w:t>ДӘРІЛІК ПРЕПАРАТТЫҢ   ЖАЛПЫ СИПАТТАМАСЫ</w:t>
      </w:r>
    </w:p>
    <w:p w14:paraId="58E36B12" w14:textId="77777777" w:rsidR="00372082" w:rsidRPr="00C473D3"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278F6815" w14:textId="77777777" w:rsidR="00280121" w:rsidRPr="00C473D3" w:rsidRDefault="000A0115" w:rsidP="0078568D">
      <w:pPr>
        <w:autoSpaceDE w:val="0"/>
        <w:autoSpaceDN w:val="0"/>
        <w:spacing w:after="0" w:line="240" w:lineRule="auto"/>
        <w:jc w:val="both"/>
        <w:rPr>
          <w:rFonts w:ascii="Times New Roman" w:eastAsia="Times New Roman" w:hAnsi="Times New Roman"/>
          <w:b/>
          <w:sz w:val="24"/>
          <w:szCs w:val="24"/>
          <w:lang w:eastAsia="ru-RU"/>
        </w:rPr>
      </w:pPr>
      <w:r w:rsidRPr="00C473D3">
        <w:rPr>
          <w:rFonts w:ascii="Times New Roman" w:eastAsia="Times New Roman" w:hAnsi="Times New Roman"/>
          <w:b/>
          <w:sz w:val="24"/>
          <w:szCs w:val="24"/>
          <w:lang w:val="kk-KZ" w:eastAsia="ru-RU"/>
        </w:rPr>
        <w:t>1. ДӘРІЛІК ПРЕПАРАТ АТАУЫ</w:t>
      </w:r>
    </w:p>
    <w:p w14:paraId="4398BF9A" w14:textId="77777777" w:rsidR="009561FD" w:rsidRPr="00C473D3" w:rsidRDefault="000A0115" w:rsidP="0078568D">
      <w:pPr>
        <w:autoSpaceDE w:val="0"/>
        <w:autoSpaceDN w:val="0"/>
        <w:spacing w:after="0" w:line="240" w:lineRule="auto"/>
        <w:jc w:val="both"/>
        <w:rPr>
          <w:rFonts w:ascii="Times New Roman" w:eastAsia="Times New Roman" w:hAnsi="Times New Roman"/>
          <w:sz w:val="24"/>
          <w:szCs w:val="24"/>
          <w:lang w:eastAsia="ru-RU"/>
        </w:rPr>
      </w:pPr>
      <w:r w:rsidRPr="00C473D3">
        <w:rPr>
          <w:rFonts w:ascii="Times New Roman" w:eastAsia="Times New Roman" w:hAnsi="Times New Roman"/>
          <w:sz w:val="24"/>
          <w:szCs w:val="24"/>
          <w:lang w:val="kk-KZ" w:eastAsia="ru-RU"/>
        </w:rPr>
        <w:t>Ланиб, 250 мг, үлбірлі қабықпен қапталған таблеткалар</w:t>
      </w:r>
    </w:p>
    <w:p w14:paraId="55FB45D8" w14:textId="77777777" w:rsidR="00B01011" w:rsidRPr="00C473D3"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23B35393" w14:textId="77777777" w:rsidR="003C07E3" w:rsidRPr="00C473D3" w:rsidRDefault="000A0115" w:rsidP="0078568D">
      <w:pPr>
        <w:spacing w:after="0" w:line="240" w:lineRule="auto"/>
        <w:jc w:val="both"/>
        <w:rPr>
          <w:sz w:val="24"/>
          <w:szCs w:val="24"/>
        </w:rPr>
      </w:pPr>
      <w:bookmarkStart w:id="0" w:name="2175220285"/>
      <w:bookmarkStart w:id="1" w:name="OCRUncertain022"/>
      <w:r w:rsidRPr="00C473D3">
        <w:rPr>
          <w:rFonts w:ascii="Times New Roman" w:eastAsia="Times New Roman" w:hAnsi="Times New Roman"/>
          <w:b/>
          <w:sz w:val="24"/>
          <w:szCs w:val="24"/>
          <w:lang w:val="kk-KZ" w:eastAsia="ru-RU"/>
        </w:rPr>
        <w:t>2. САПАЛЫҚ ЖӘНЕ САНДЫҚ ҚҰРАМЫ</w:t>
      </w:r>
    </w:p>
    <w:bookmarkEnd w:id="0"/>
    <w:p w14:paraId="3199FBA8" w14:textId="77777777" w:rsidR="001872CE" w:rsidRPr="008857DB" w:rsidRDefault="000A0115"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8857DB">
        <w:rPr>
          <w:rFonts w:ascii="Times New Roman" w:eastAsia="TimesNewRomanPSMT" w:hAnsi="Times New Roman"/>
          <w:b/>
          <w:bCs/>
          <w:sz w:val="24"/>
          <w:szCs w:val="24"/>
          <w:lang w:val="kk-KZ" w:eastAsia="ru-RU"/>
        </w:rPr>
        <w:t xml:space="preserve">2.1 Жалпы сипаттамасы </w:t>
      </w:r>
    </w:p>
    <w:p w14:paraId="7B5819EB" w14:textId="77777777" w:rsidR="00D60C5A" w:rsidRPr="00C473D3" w:rsidRDefault="000A0115" w:rsidP="0078568D">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C473D3">
        <w:rPr>
          <w:rFonts w:ascii="Times New Roman" w:eastAsia="Times New Roman" w:hAnsi="Times New Roman"/>
          <w:bCs/>
          <w:sz w:val="24"/>
          <w:szCs w:val="24"/>
          <w:lang w:val="kk-KZ" w:eastAsia="ru-RU"/>
        </w:rPr>
        <w:t>Лапатиниб</w:t>
      </w:r>
    </w:p>
    <w:p w14:paraId="7DE74DEB" w14:textId="77777777" w:rsidR="00D60C5A" w:rsidRPr="008857DB" w:rsidRDefault="000A0115" w:rsidP="0078568D">
      <w:pPr>
        <w:widowControl w:val="0"/>
        <w:autoSpaceDE w:val="0"/>
        <w:autoSpaceDN w:val="0"/>
        <w:spacing w:after="0" w:line="240" w:lineRule="auto"/>
        <w:ind w:left="2977" w:hanging="2977"/>
        <w:jc w:val="both"/>
        <w:rPr>
          <w:rFonts w:ascii="Times New Roman" w:eastAsia="TimesNewRomanPSMT" w:hAnsi="Times New Roman"/>
          <w:b/>
          <w:bCs/>
          <w:sz w:val="24"/>
          <w:szCs w:val="24"/>
          <w:lang w:eastAsia="ru-RU"/>
        </w:rPr>
      </w:pPr>
      <w:r w:rsidRPr="008857DB">
        <w:rPr>
          <w:rFonts w:ascii="Times New Roman" w:eastAsia="TimesNewRomanPSMT" w:hAnsi="Times New Roman"/>
          <w:b/>
          <w:bCs/>
          <w:sz w:val="24"/>
          <w:szCs w:val="24"/>
          <w:lang w:val="kk-KZ" w:eastAsia="ru-RU"/>
        </w:rPr>
        <w:t>2.2 Сапалық және сандық құрамы</w:t>
      </w:r>
    </w:p>
    <w:p w14:paraId="2DA532D3" w14:textId="77777777" w:rsidR="00A074C5" w:rsidRPr="00C473D3" w:rsidRDefault="000A0115" w:rsidP="0078568D">
      <w:pPr>
        <w:widowControl w:val="0"/>
        <w:autoSpaceDE w:val="0"/>
        <w:autoSpaceDN w:val="0"/>
        <w:spacing w:after="0" w:line="240" w:lineRule="auto"/>
        <w:jc w:val="both"/>
        <w:rPr>
          <w:rFonts w:ascii="Times New Roman" w:eastAsia="Times New Roman" w:hAnsi="Times New Roman"/>
          <w:bCs/>
          <w:sz w:val="24"/>
          <w:szCs w:val="24"/>
          <w:lang w:eastAsia="ru-RU"/>
        </w:rPr>
      </w:pPr>
      <w:r w:rsidRPr="00C473D3">
        <w:rPr>
          <w:rFonts w:ascii="Times New Roman" w:eastAsia="Times New Roman" w:hAnsi="Times New Roman"/>
          <w:bCs/>
          <w:sz w:val="24"/>
          <w:szCs w:val="24"/>
          <w:lang w:val="kk-KZ" w:eastAsia="ru-RU"/>
        </w:rPr>
        <w:t xml:space="preserve">Үлбірлі қабықпен қапталған бір таблетканың құрамында </w:t>
      </w:r>
    </w:p>
    <w:p w14:paraId="359B8545" w14:textId="77777777" w:rsidR="00A074C5" w:rsidRPr="002B2A2D" w:rsidRDefault="000A0115" w:rsidP="00456B2A">
      <w:pPr>
        <w:widowControl w:val="0"/>
        <w:autoSpaceDE w:val="0"/>
        <w:autoSpaceDN w:val="0"/>
        <w:spacing w:after="0" w:line="240" w:lineRule="auto"/>
        <w:jc w:val="both"/>
        <w:rPr>
          <w:rFonts w:ascii="Times New Roman" w:eastAsia="Times New Roman" w:hAnsi="Times New Roman"/>
          <w:bCs/>
          <w:sz w:val="24"/>
          <w:szCs w:val="24"/>
          <w:lang w:eastAsia="ru-RU"/>
        </w:rPr>
      </w:pPr>
      <w:r w:rsidRPr="00C473D3">
        <w:rPr>
          <w:rFonts w:ascii="Times New Roman" w:eastAsia="Times New Roman" w:hAnsi="Times New Roman"/>
          <w:bCs/>
          <w:i/>
          <w:sz w:val="24"/>
          <w:szCs w:val="24"/>
          <w:lang w:val="kk-KZ" w:eastAsia="ru-RU"/>
        </w:rPr>
        <w:t xml:space="preserve">белсенді зат – </w:t>
      </w:r>
      <w:r w:rsidR="00CB09FA" w:rsidRPr="00C473D3">
        <w:rPr>
          <w:rFonts w:ascii="Times New Roman" w:eastAsia="Times New Roman" w:hAnsi="Times New Roman"/>
          <w:bCs/>
          <w:sz w:val="24"/>
          <w:szCs w:val="24"/>
          <w:lang w:val="kk-KZ" w:eastAsia="ru-RU"/>
        </w:rPr>
        <w:t>250 мг лапатинибке баламалы</w:t>
      </w:r>
      <w:r w:rsidR="00CB09FA">
        <w:rPr>
          <w:rFonts w:ascii="Times New Roman" w:eastAsia="Times New Roman" w:hAnsi="Times New Roman"/>
          <w:bCs/>
          <w:sz w:val="24"/>
          <w:szCs w:val="24"/>
          <w:lang w:val="kk-KZ" w:eastAsia="ru-RU"/>
        </w:rPr>
        <w:t xml:space="preserve"> лапатиниб дитозилат</w:t>
      </w:r>
      <w:r w:rsidR="00A53F48" w:rsidRPr="00C473D3">
        <w:rPr>
          <w:rFonts w:ascii="Times New Roman" w:eastAsia="Times New Roman" w:hAnsi="Times New Roman"/>
          <w:bCs/>
          <w:sz w:val="24"/>
          <w:szCs w:val="24"/>
          <w:lang w:val="kk-KZ" w:eastAsia="ru-RU"/>
        </w:rPr>
        <w:t xml:space="preserve"> моногидраты.</w:t>
      </w:r>
    </w:p>
    <w:p w14:paraId="2A547FE2" w14:textId="77777777" w:rsidR="008C4BF9" w:rsidRDefault="000A0115" w:rsidP="00456B2A">
      <w:pPr>
        <w:autoSpaceDE w:val="0"/>
        <w:autoSpaceDN w:val="0"/>
        <w:adjustRightInd w:val="0"/>
        <w:spacing w:after="0" w:line="240" w:lineRule="auto"/>
        <w:jc w:val="both"/>
        <w:rPr>
          <w:rFonts w:ascii="Times New Roman" w:hAnsi="Times New Roman"/>
          <w:iCs/>
          <w:sz w:val="24"/>
          <w:szCs w:val="24"/>
          <w:lang w:eastAsia="ru-RU"/>
        </w:rPr>
      </w:pPr>
      <w:r w:rsidRPr="008C4BF9">
        <w:rPr>
          <w:rFonts w:ascii="Times New Roman" w:hAnsi="Times New Roman"/>
          <w:iCs/>
          <w:sz w:val="24"/>
          <w:szCs w:val="24"/>
          <w:lang w:val="kk-KZ" w:eastAsia="ru-RU"/>
        </w:rPr>
        <w:t>Дәрілік препарат құрамында бар екені ескерілу керек қосымша заттар: маннитол (Перлитол 25С), натрий кроскармеллозасы.</w:t>
      </w:r>
    </w:p>
    <w:p w14:paraId="06BAD673" w14:textId="77777777" w:rsidR="003C07E3" w:rsidRPr="00C473D3" w:rsidRDefault="000A0115" w:rsidP="00456B2A">
      <w:pPr>
        <w:autoSpaceDE w:val="0"/>
        <w:autoSpaceDN w:val="0"/>
        <w:adjustRightInd w:val="0"/>
        <w:spacing w:after="0" w:line="240" w:lineRule="auto"/>
        <w:jc w:val="both"/>
        <w:rPr>
          <w:rFonts w:ascii="Times New Roman" w:hAnsi="Times New Roman"/>
          <w:sz w:val="24"/>
          <w:szCs w:val="24"/>
          <w:lang w:eastAsia="ru-RU"/>
        </w:rPr>
      </w:pPr>
      <w:r w:rsidRPr="00C473D3">
        <w:rPr>
          <w:rFonts w:ascii="Times New Roman" w:hAnsi="Times New Roman"/>
          <w:iCs/>
          <w:sz w:val="24"/>
          <w:szCs w:val="24"/>
          <w:lang w:val="kk-KZ" w:eastAsia="ru-RU"/>
        </w:rPr>
        <w:t>Қосымша заттардың толық тізімін 6.1-тармақтан қараңыз.</w:t>
      </w:r>
    </w:p>
    <w:p w14:paraId="48C1A8FB" w14:textId="77777777" w:rsidR="00AC7F63" w:rsidRPr="00C473D3" w:rsidRDefault="00AC7F63"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p>
    <w:p w14:paraId="487C8FA8" w14:textId="77777777" w:rsidR="00B7231F" w:rsidRPr="00C473D3" w:rsidRDefault="000A0115" w:rsidP="0078568D">
      <w:pPr>
        <w:spacing w:after="0" w:line="240" w:lineRule="auto"/>
        <w:jc w:val="both"/>
        <w:rPr>
          <w:rFonts w:ascii="Times New Roman" w:eastAsia="Times New Roman" w:hAnsi="Times New Roman"/>
          <w:b/>
          <w:sz w:val="24"/>
          <w:szCs w:val="24"/>
          <w:lang w:eastAsia="ru-RU"/>
        </w:rPr>
      </w:pPr>
      <w:bookmarkStart w:id="2" w:name="2175220286"/>
      <w:r w:rsidRPr="00C473D3">
        <w:rPr>
          <w:rFonts w:ascii="Times New Roman" w:eastAsia="Times New Roman" w:hAnsi="Times New Roman"/>
          <w:b/>
          <w:sz w:val="24"/>
          <w:szCs w:val="24"/>
          <w:lang w:val="kk-KZ" w:eastAsia="ru-RU"/>
        </w:rPr>
        <w:t>3. ДӘРІЛІК ТҮРІ</w:t>
      </w:r>
    </w:p>
    <w:bookmarkEnd w:id="2"/>
    <w:p w14:paraId="6D9FFE24" w14:textId="54099B37" w:rsidR="001872CE" w:rsidRPr="00C473D3" w:rsidRDefault="000A0115" w:rsidP="0078568D">
      <w:pPr>
        <w:pStyle w:val="Default"/>
        <w:jc w:val="both"/>
        <w:rPr>
          <w:spacing w:val="-4"/>
        </w:rPr>
      </w:pPr>
      <w:r w:rsidRPr="00C473D3">
        <w:rPr>
          <w:spacing w:val="-4"/>
          <w:lang w:val="kk-KZ"/>
        </w:rPr>
        <w:t>Үлбірлі қабықпен қапталған таблеткалар</w:t>
      </w:r>
      <w:r w:rsidR="00456B2A">
        <w:rPr>
          <w:spacing w:val="-4"/>
          <w:lang w:val="kk-KZ"/>
        </w:rPr>
        <w:t>.</w:t>
      </w:r>
    </w:p>
    <w:p w14:paraId="2DE58A50" w14:textId="77777777" w:rsidR="00B7231F" w:rsidRPr="00C473D3" w:rsidRDefault="000A0115" w:rsidP="0078568D">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C473D3">
        <w:rPr>
          <w:rFonts w:ascii="Times New Roman" w:eastAsia="Times New Roman" w:hAnsi="Times New Roman"/>
          <w:color w:val="000000"/>
          <w:spacing w:val="-4"/>
          <w:sz w:val="24"/>
          <w:szCs w:val="24"/>
          <w:lang w:val="kk-KZ" w:eastAsia="hu-HU"/>
        </w:rPr>
        <w:t>Сары түсті үлбірлі қабықпен қапталған, екі беті тегіс,  сопақша екі жақ беті дөңес таблеткалар.</w:t>
      </w:r>
    </w:p>
    <w:p w14:paraId="59F7F3CE" w14:textId="77777777" w:rsidR="008725D5" w:rsidRPr="00C473D3" w:rsidRDefault="008725D5" w:rsidP="0078568D">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18511063" w14:textId="77777777" w:rsidR="002C1660" w:rsidRPr="00C473D3" w:rsidRDefault="000A0115" w:rsidP="0078568D">
      <w:pPr>
        <w:spacing w:after="0" w:line="240" w:lineRule="auto"/>
        <w:jc w:val="both"/>
        <w:rPr>
          <w:rFonts w:ascii="Times New Roman" w:eastAsia="Times New Roman" w:hAnsi="Times New Roman"/>
          <w:b/>
          <w:sz w:val="24"/>
          <w:szCs w:val="24"/>
          <w:lang w:eastAsia="ru-RU"/>
        </w:rPr>
      </w:pPr>
      <w:r w:rsidRPr="00C473D3">
        <w:rPr>
          <w:rFonts w:ascii="Times New Roman" w:eastAsia="Times New Roman" w:hAnsi="Times New Roman"/>
          <w:b/>
          <w:sz w:val="24"/>
          <w:szCs w:val="24"/>
          <w:lang w:val="kk-KZ" w:eastAsia="ru-RU"/>
        </w:rPr>
        <w:t>4.</w:t>
      </w:r>
      <w:bookmarkEnd w:id="1"/>
      <w:r w:rsidRPr="00C473D3">
        <w:rPr>
          <w:rFonts w:ascii="Times New Roman" w:eastAsia="Times New Roman" w:hAnsi="Times New Roman"/>
          <w:b/>
          <w:sz w:val="24"/>
          <w:szCs w:val="24"/>
          <w:lang w:val="kk-KZ" w:eastAsia="ru-RU"/>
        </w:rPr>
        <w:t>КЛИНИКАЛЫҚ ДЕРЕКТЕРІ</w:t>
      </w:r>
    </w:p>
    <w:p w14:paraId="78EE64AD" w14:textId="77777777" w:rsidR="005444B2" w:rsidRPr="00C473D3" w:rsidRDefault="000A0115"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C473D3">
        <w:rPr>
          <w:rFonts w:ascii="Times New Roman" w:eastAsia="Times New Roman" w:hAnsi="Times New Roman"/>
          <w:b/>
          <w:bCs/>
          <w:sz w:val="24"/>
          <w:szCs w:val="24"/>
          <w:lang w:val="kk-KZ" w:eastAsia="ru-RU"/>
        </w:rPr>
        <w:t>4.1 Қолданылуы</w:t>
      </w:r>
    </w:p>
    <w:p w14:paraId="6C994252" w14:textId="77777777" w:rsidR="00F8040D" w:rsidRPr="00C473D3" w:rsidRDefault="000A0115" w:rsidP="00F8040D">
      <w:pPr>
        <w:spacing w:after="0" w:line="20" w:lineRule="atLeast"/>
        <w:ind w:left="-5" w:right="6"/>
        <w:jc w:val="both"/>
        <w:rPr>
          <w:rFonts w:ascii="Times New Roman" w:hAnsi="Times New Roman"/>
          <w:sz w:val="24"/>
          <w:szCs w:val="24"/>
        </w:rPr>
      </w:pPr>
      <w:r w:rsidRPr="00C473D3">
        <w:rPr>
          <w:rFonts w:ascii="Times New Roman" w:hAnsi="Times New Roman"/>
          <w:sz w:val="24"/>
          <w:szCs w:val="24"/>
          <w:lang w:val="kk-KZ"/>
        </w:rPr>
        <w:t>Ланиб HER2 (ErbB2) гиперэкспрессиямен сүт безі обыры бар ересек пациенттерді емдеуге арналған:</w:t>
      </w:r>
    </w:p>
    <w:p w14:paraId="4E923F32" w14:textId="54F88913" w:rsidR="00F8040D" w:rsidRPr="00C473D3" w:rsidRDefault="000A0115" w:rsidP="00F8040D">
      <w:pPr>
        <w:spacing w:after="0" w:line="20" w:lineRule="atLeast"/>
        <w:ind w:left="-5" w:right="6"/>
        <w:jc w:val="both"/>
        <w:rPr>
          <w:rFonts w:ascii="Times New Roman" w:hAnsi="Times New Roman"/>
          <w:sz w:val="24"/>
          <w:szCs w:val="24"/>
        </w:rPr>
      </w:pPr>
      <w:r w:rsidRPr="00C473D3">
        <w:rPr>
          <w:rFonts w:ascii="Times New Roman" w:hAnsi="Times New Roman"/>
          <w:sz w:val="24"/>
          <w:szCs w:val="24"/>
          <w:lang w:val="kk-KZ"/>
        </w:rPr>
        <w:t xml:space="preserve">- атрациклиндермен, таксандармен және трастузумабпен </w:t>
      </w:r>
      <w:r w:rsidR="002844B3" w:rsidRPr="002844B3">
        <w:rPr>
          <w:rFonts w:ascii="Times New Roman" w:hAnsi="Times New Roman"/>
          <w:sz w:val="24"/>
          <w:szCs w:val="24"/>
          <w:lang w:val="kk-KZ"/>
        </w:rPr>
        <w:t xml:space="preserve">таралған немесе </w:t>
      </w:r>
      <w:r w:rsidRPr="00C473D3">
        <w:rPr>
          <w:rFonts w:ascii="Times New Roman" w:hAnsi="Times New Roman"/>
          <w:sz w:val="24"/>
          <w:szCs w:val="24"/>
          <w:lang w:val="kk-KZ"/>
        </w:rPr>
        <w:t xml:space="preserve">метастаздық жағдайларды бастапқы емдеу кезінде аурудың үдеуі бар науқастарда капецитабинмен біріктірілімде </w:t>
      </w:r>
      <w:r w:rsidR="006E370C" w:rsidRPr="006E370C">
        <w:rPr>
          <w:rFonts w:ascii="Times New Roman" w:hAnsi="Times New Roman"/>
          <w:sz w:val="24"/>
          <w:szCs w:val="24"/>
          <w:lang w:val="kk-KZ"/>
        </w:rPr>
        <w:t>(5.1 бөлімін қараңыз)</w:t>
      </w:r>
    </w:p>
    <w:p w14:paraId="5B8F414C" w14:textId="4D61D067" w:rsidR="00F8040D" w:rsidRPr="006E370C" w:rsidRDefault="000A0115" w:rsidP="00F8040D">
      <w:pPr>
        <w:spacing w:after="0" w:line="20" w:lineRule="atLeast"/>
        <w:ind w:left="-5" w:right="6"/>
        <w:jc w:val="both"/>
        <w:rPr>
          <w:rFonts w:ascii="Times New Roman" w:hAnsi="Times New Roman"/>
          <w:sz w:val="24"/>
          <w:szCs w:val="24"/>
        </w:rPr>
      </w:pPr>
      <w:r w:rsidRPr="00C473D3">
        <w:rPr>
          <w:rFonts w:ascii="Times New Roman" w:hAnsi="Times New Roman"/>
          <w:sz w:val="24"/>
          <w:szCs w:val="24"/>
          <w:lang w:val="kk-KZ"/>
        </w:rPr>
        <w:t>- трастузумабпен бастапқы емде гормондық теріс метастаздық аурудың үдеуімен науқастардағы трастузумабпен және химиотерапиямен біріктірілімде</w:t>
      </w:r>
      <w:r w:rsidR="006E370C" w:rsidRPr="006E370C">
        <w:rPr>
          <w:rFonts w:ascii="Times New Roman" w:hAnsi="Times New Roman"/>
          <w:sz w:val="24"/>
          <w:szCs w:val="24"/>
        </w:rPr>
        <w:t xml:space="preserve"> (5.1 бөлімін қараңыз)</w:t>
      </w:r>
    </w:p>
    <w:p w14:paraId="21C8DC2D" w14:textId="51854D41" w:rsidR="00A24EC8" w:rsidRPr="005D4D1C" w:rsidRDefault="000A0115" w:rsidP="00A24EC8">
      <w:pPr>
        <w:spacing w:after="0" w:line="20" w:lineRule="atLeast"/>
        <w:ind w:left="-5" w:right="6"/>
        <w:jc w:val="both"/>
        <w:rPr>
          <w:rFonts w:ascii="Times New Roman" w:hAnsi="Times New Roman"/>
          <w:sz w:val="24"/>
          <w:szCs w:val="24"/>
          <w:lang w:val="kk-KZ"/>
        </w:rPr>
      </w:pPr>
      <w:r w:rsidRPr="00C473D3">
        <w:rPr>
          <w:rFonts w:ascii="Times New Roman" w:hAnsi="Times New Roman"/>
          <w:sz w:val="24"/>
          <w:szCs w:val="24"/>
          <w:lang w:val="kk-KZ"/>
        </w:rPr>
        <w:t>- химиотерапия қабылдамайтын постменопауза кезеңінде әйелдерде ароматаза тежегіштерімен біріктіріп гормондық оң метастаздық ауруды емдеу</w:t>
      </w:r>
      <w:r w:rsidR="006E370C" w:rsidRPr="006E370C">
        <w:rPr>
          <w:rFonts w:ascii="Times New Roman" w:hAnsi="Times New Roman"/>
          <w:sz w:val="24"/>
          <w:szCs w:val="24"/>
        </w:rPr>
        <w:t xml:space="preserve"> (4.4 және 5.1 бөлімдерін қараңыз).</w:t>
      </w:r>
      <w:r w:rsidRPr="00C473D3">
        <w:rPr>
          <w:rFonts w:ascii="Times New Roman" w:hAnsi="Times New Roman"/>
          <w:sz w:val="24"/>
          <w:szCs w:val="24"/>
          <w:lang w:val="kk-KZ"/>
        </w:rPr>
        <w:t xml:space="preserve"> Тіркеу зерттеулерінде пациенттер бұрын трастузумаб немесе ароматаза тежегіштерін қабылдамаған. Бұл пациенттерде трастузумаб және ароматаза тежегіштері сияқты препараттар біріктірілімінің тиімділігі туралы деректер жоқ.</w:t>
      </w:r>
    </w:p>
    <w:p w14:paraId="31B35C7A" w14:textId="77777777" w:rsidR="00A24EC8" w:rsidRPr="005D4D1C" w:rsidRDefault="00A24EC8" w:rsidP="0078568D">
      <w:pPr>
        <w:tabs>
          <w:tab w:val="left" w:pos="8931"/>
        </w:tabs>
        <w:spacing w:after="0" w:line="240" w:lineRule="auto"/>
        <w:jc w:val="both"/>
        <w:rPr>
          <w:rFonts w:ascii="Times New Roman" w:hAnsi="Times New Roman"/>
          <w:sz w:val="24"/>
          <w:szCs w:val="24"/>
          <w:lang w:val="kk-KZ"/>
        </w:rPr>
      </w:pPr>
    </w:p>
    <w:p w14:paraId="48EF7BA7" w14:textId="77777777" w:rsidR="00B7231F" w:rsidRPr="005D4D1C" w:rsidRDefault="000A0115" w:rsidP="0078568D">
      <w:pPr>
        <w:spacing w:after="0" w:line="240" w:lineRule="auto"/>
        <w:jc w:val="both"/>
        <w:rPr>
          <w:rFonts w:ascii="Times New Roman" w:eastAsia="Times New Roman" w:hAnsi="Times New Roman"/>
          <w:b/>
          <w:sz w:val="24"/>
          <w:szCs w:val="24"/>
          <w:lang w:val="kk-KZ" w:eastAsia="ru-RU"/>
        </w:rPr>
      </w:pPr>
      <w:bookmarkStart w:id="3" w:name="2175220274"/>
      <w:r w:rsidRPr="00C473D3">
        <w:rPr>
          <w:rFonts w:ascii="Times New Roman" w:eastAsia="Times New Roman" w:hAnsi="Times New Roman"/>
          <w:b/>
          <w:sz w:val="24"/>
          <w:szCs w:val="24"/>
          <w:lang w:val="kk-KZ" w:eastAsia="ru-RU"/>
        </w:rPr>
        <w:t>4.2 Дозалау режимі және қолдану тәсілі</w:t>
      </w:r>
    </w:p>
    <w:p w14:paraId="26678C83" w14:textId="77777777" w:rsidR="00D136FE" w:rsidRPr="005D4D1C" w:rsidRDefault="000A0115" w:rsidP="00D136FE">
      <w:pPr>
        <w:spacing w:after="0" w:line="240" w:lineRule="auto"/>
        <w:jc w:val="both"/>
        <w:rPr>
          <w:rFonts w:ascii="Times New Roman" w:eastAsia="Times New Roman" w:hAnsi="Times New Roman"/>
          <w:sz w:val="24"/>
          <w:szCs w:val="24"/>
          <w:lang w:val="kk-KZ" w:eastAsia="ru-RU"/>
        </w:rPr>
      </w:pPr>
      <w:r w:rsidRPr="00C473D3">
        <w:rPr>
          <w:rFonts w:ascii="Times New Roman" w:eastAsia="Times New Roman" w:hAnsi="Times New Roman"/>
          <w:sz w:val="24"/>
          <w:szCs w:val="24"/>
          <w:lang w:val="kk-KZ" w:eastAsia="ru-RU"/>
        </w:rPr>
        <w:t xml:space="preserve">Ланибпен емдеуді ісікке қарсы препараттарды қолдану тәжірибесі бар дәрігер ғана тағайындауы тиіс. </w:t>
      </w:r>
    </w:p>
    <w:p w14:paraId="6D864512" w14:textId="77777777" w:rsidR="00D136FE" w:rsidRPr="005D4D1C" w:rsidRDefault="000A0115" w:rsidP="0078568D">
      <w:pPr>
        <w:spacing w:after="0" w:line="240" w:lineRule="auto"/>
        <w:jc w:val="both"/>
        <w:rPr>
          <w:rFonts w:ascii="Times New Roman" w:eastAsia="Times New Roman" w:hAnsi="Times New Roman"/>
          <w:sz w:val="24"/>
          <w:szCs w:val="24"/>
          <w:lang w:val="kk-KZ" w:eastAsia="ru-RU"/>
        </w:rPr>
      </w:pPr>
      <w:r w:rsidRPr="00C473D3">
        <w:rPr>
          <w:rFonts w:ascii="Times New Roman" w:eastAsia="Times New Roman" w:hAnsi="Times New Roman"/>
          <w:sz w:val="24"/>
          <w:szCs w:val="24"/>
          <w:lang w:val="kk-KZ" w:eastAsia="ru-RU"/>
        </w:rPr>
        <w:t xml:space="preserve">HER2 (ErbB2)  гиперэкспрессиясы бар ісіктер IHC3 + немесе IHC2 + ген амплификациясының көмегімен немесе тек ген амплификациясының көмегімен </w:t>
      </w:r>
      <w:r w:rsidRPr="00C473D3">
        <w:rPr>
          <w:rFonts w:ascii="Times New Roman" w:eastAsia="Times New Roman" w:hAnsi="Times New Roman"/>
          <w:sz w:val="24"/>
          <w:szCs w:val="24"/>
          <w:lang w:val="kk-KZ" w:eastAsia="ru-RU"/>
        </w:rPr>
        <w:lastRenderedPageBreak/>
        <w:t xml:space="preserve">анықталады. HER2 статусын диагностиканың нақты және негізделген әдістерін қолдана отырып анықтау қажет. </w:t>
      </w:r>
    </w:p>
    <w:p w14:paraId="5314A851" w14:textId="77777777" w:rsidR="00891EB8" w:rsidRPr="005D4D1C" w:rsidRDefault="000A0115" w:rsidP="0078568D">
      <w:pPr>
        <w:spacing w:after="0" w:line="240" w:lineRule="auto"/>
        <w:jc w:val="both"/>
        <w:rPr>
          <w:rFonts w:ascii="Times New Roman" w:eastAsia="Times New Roman" w:hAnsi="Times New Roman"/>
          <w:b/>
          <w:sz w:val="24"/>
          <w:szCs w:val="24"/>
          <w:lang w:val="kk-KZ" w:eastAsia="ru-RU"/>
        </w:rPr>
      </w:pPr>
      <w:r w:rsidRPr="00C473D3">
        <w:rPr>
          <w:rFonts w:ascii="Times New Roman" w:eastAsia="Times New Roman" w:hAnsi="Times New Roman"/>
          <w:b/>
          <w:sz w:val="24"/>
          <w:szCs w:val="24"/>
          <w:lang w:val="kk-KZ" w:eastAsia="ru-RU"/>
        </w:rPr>
        <w:t xml:space="preserve">Дозалау режимі </w:t>
      </w:r>
    </w:p>
    <w:bookmarkEnd w:id="3"/>
    <w:p w14:paraId="5A8A111A" w14:textId="77777777"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i/>
          <w:iCs/>
          <w:sz w:val="24"/>
          <w:szCs w:val="24"/>
          <w:lang w:val="kk-KZ"/>
        </w:rPr>
        <w:t xml:space="preserve">Ланиб капецитабинмен біріктірілімде </w:t>
      </w:r>
    </w:p>
    <w:p w14:paraId="7DBEFEF0" w14:textId="77777777" w:rsidR="00401F77" w:rsidRPr="005D4D1C" w:rsidRDefault="000A0115" w:rsidP="00401F77">
      <w:pPr>
        <w:spacing w:after="0" w:line="240" w:lineRule="auto"/>
        <w:jc w:val="both"/>
        <w:rPr>
          <w:rFonts w:ascii="Times New Roman" w:hAnsi="Times New Roman"/>
          <w:sz w:val="24"/>
          <w:szCs w:val="24"/>
          <w:lang w:val="kk-KZ"/>
        </w:rPr>
      </w:pPr>
      <w:r w:rsidRPr="00C473D3">
        <w:rPr>
          <w:rFonts w:ascii="Times New Roman" w:hAnsi="Times New Roman"/>
          <w:sz w:val="24"/>
          <w:szCs w:val="24"/>
          <w:lang w:val="kk-KZ"/>
        </w:rPr>
        <w:t xml:space="preserve">Ланибтің ұсынылатын дозасы тәулігіне бір рет, тұрақты 1250 мг (бес таблетка) құрайды. </w:t>
      </w:r>
    </w:p>
    <w:p w14:paraId="23473DFE" w14:textId="4DA72156" w:rsidR="00401F77" w:rsidRPr="005D4D1C" w:rsidRDefault="000A0115" w:rsidP="00401F77">
      <w:pPr>
        <w:spacing w:after="0" w:line="240" w:lineRule="auto"/>
        <w:ind w:left="-5" w:right="2"/>
        <w:jc w:val="both"/>
        <w:rPr>
          <w:rFonts w:ascii="Times New Roman" w:hAnsi="Times New Roman"/>
          <w:sz w:val="24"/>
          <w:szCs w:val="24"/>
          <w:lang w:val="kk-KZ"/>
        </w:rPr>
      </w:pPr>
      <w:r w:rsidRPr="00C473D3">
        <w:rPr>
          <w:rFonts w:ascii="Times New Roman" w:hAnsi="Times New Roman"/>
          <w:sz w:val="24"/>
          <w:szCs w:val="24"/>
          <w:lang w:val="kk-KZ"/>
        </w:rPr>
        <w:t>Капецитабиннің ұсынылатын дозасы — тәулігіне 2000 мг/м</w:t>
      </w:r>
      <w:r w:rsidRPr="00C473D3">
        <w:rPr>
          <w:rFonts w:ascii="Times New Roman" w:hAnsi="Times New Roman"/>
          <w:sz w:val="24"/>
          <w:szCs w:val="24"/>
          <w:vertAlign w:val="superscript"/>
          <w:lang w:val="kk-KZ"/>
        </w:rPr>
        <w:t>2</w:t>
      </w:r>
      <w:r w:rsidRPr="00C473D3">
        <w:rPr>
          <w:rFonts w:ascii="Times New Roman" w:hAnsi="Times New Roman"/>
          <w:sz w:val="24"/>
          <w:szCs w:val="24"/>
          <w:lang w:val="kk-KZ"/>
        </w:rPr>
        <w:t>, оны 2 рет қабылдаудан, циклдің 1-күнінен 14-күніне дейін 12 сағат аралықпен қабылдайды, ол 21 күнді құрайды</w:t>
      </w:r>
      <w:r w:rsidR="0027428C">
        <w:rPr>
          <w:rFonts w:ascii="Times New Roman" w:hAnsi="Times New Roman"/>
          <w:sz w:val="24"/>
          <w:szCs w:val="24"/>
          <w:lang w:val="kk-KZ"/>
        </w:rPr>
        <w:t xml:space="preserve"> (</w:t>
      </w:r>
      <w:r w:rsidR="0027428C" w:rsidRPr="0027428C">
        <w:rPr>
          <w:rFonts w:ascii="Times New Roman" w:hAnsi="Times New Roman"/>
          <w:sz w:val="24"/>
          <w:szCs w:val="24"/>
          <w:lang w:val="kk-KZ"/>
        </w:rPr>
        <w:t>5.1 бөлімін қараңыз</w:t>
      </w:r>
      <w:r w:rsidR="0027428C">
        <w:rPr>
          <w:rFonts w:ascii="Times New Roman" w:hAnsi="Times New Roman"/>
          <w:sz w:val="24"/>
          <w:szCs w:val="24"/>
          <w:lang w:val="kk-KZ"/>
        </w:rPr>
        <w:t>)</w:t>
      </w:r>
      <w:r w:rsidRPr="00C473D3">
        <w:rPr>
          <w:rFonts w:ascii="Times New Roman" w:hAnsi="Times New Roman"/>
          <w:sz w:val="24"/>
          <w:szCs w:val="24"/>
          <w:lang w:val="kk-KZ"/>
        </w:rPr>
        <w:t xml:space="preserve">. Капецитабинді тамақпен бірге немесе тамақтағаннан кейін 30 минут ішінде қабылдау ұсынылады. Капецитабин препаратын қолдану жөніндегі нұсқаулықты қараңыз. </w:t>
      </w:r>
    </w:p>
    <w:p w14:paraId="7F21F609" w14:textId="77777777" w:rsidR="00401F77" w:rsidRPr="005D4D1C" w:rsidRDefault="000A0115" w:rsidP="00401F77">
      <w:pPr>
        <w:spacing w:after="0" w:line="240" w:lineRule="auto"/>
        <w:ind w:left="-5" w:right="2"/>
        <w:jc w:val="both"/>
        <w:rPr>
          <w:rFonts w:ascii="Times New Roman" w:hAnsi="Times New Roman"/>
          <w:sz w:val="24"/>
          <w:szCs w:val="24"/>
          <w:lang w:val="kk-KZ"/>
        </w:rPr>
      </w:pPr>
      <w:r w:rsidRPr="00C473D3">
        <w:rPr>
          <w:rFonts w:ascii="Times New Roman" w:hAnsi="Times New Roman"/>
          <w:i/>
          <w:iCs/>
          <w:sz w:val="24"/>
          <w:szCs w:val="24"/>
          <w:lang w:val="kk-KZ"/>
        </w:rPr>
        <w:t xml:space="preserve">Ланиб трастузумабпен біріктірілімде </w:t>
      </w:r>
    </w:p>
    <w:p w14:paraId="54E8C362" w14:textId="77777777"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Ланибтің ұсынылатын дозасы тәулігіне бір рет, тұрақты 1000 мг (төрт таблетка) құрайды. </w:t>
      </w:r>
    </w:p>
    <w:p w14:paraId="009C7A38" w14:textId="09B1B647"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Трастузумабтың ұсынылатын дозасы жүктемелік вена ішіне инъекция түрінде енгізілетін 4 мг/кг, содан кейін вена ішіне апта сайын 2 мг/кг құрайды</w:t>
      </w:r>
      <w:r w:rsidR="006E370C" w:rsidRPr="006E370C">
        <w:rPr>
          <w:rFonts w:ascii="Times New Roman" w:hAnsi="Times New Roman"/>
          <w:sz w:val="24"/>
          <w:szCs w:val="24"/>
          <w:lang w:val="kk-KZ"/>
        </w:rPr>
        <w:t xml:space="preserve"> (5.1 бөлімін қараңыз)</w:t>
      </w:r>
      <w:r w:rsidRPr="00C473D3">
        <w:rPr>
          <w:rFonts w:ascii="Times New Roman" w:hAnsi="Times New Roman"/>
          <w:sz w:val="24"/>
          <w:szCs w:val="24"/>
          <w:lang w:val="kk-KZ"/>
        </w:rPr>
        <w:t xml:space="preserve">. Трастузумаб препаратын қолдану жөніндегі нұсқаулықты қараңыз. </w:t>
      </w:r>
    </w:p>
    <w:p w14:paraId="0E09743D" w14:textId="77777777"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i/>
          <w:iCs/>
          <w:sz w:val="24"/>
          <w:szCs w:val="24"/>
          <w:lang w:val="kk-KZ"/>
        </w:rPr>
        <w:t xml:space="preserve">Ланиб ароматаза тежегішімен біріктірілімде </w:t>
      </w:r>
    </w:p>
    <w:p w14:paraId="1BBCFCFD" w14:textId="77777777"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Ланибтің ұсынылатын дозасы тәулігіне бір рет, тұрақты 1500 мг (алты таблетка) құрайды. </w:t>
      </w:r>
    </w:p>
    <w:p w14:paraId="3C423710" w14:textId="77777777"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Ароматаза тежегішімен біріктірілген кезде дозалау жөніндегі деректерге қатысты нұсқаулықты қараңыз. </w:t>
      </w:r>
    </w:p>
    <w:p w14:paraId="53472509" w14:textId="77777777" w:rsidR="00401F77" w:rsidRPr="005D4D1C" w:rsidRDefault="000A0115" w:rsidP="00401F77">
      <w:pPr>
        <w:spacing w:after="0" w:line="240" w:lineRule="auto"/>
        <w:ind w:left="-5" w:right="7"/>
        <w:jc w:val="both"/>
        <w:rPr>
          <w:rFonts w:ascii="Times New Roman" w:hAnsi="Times New Roman"/>
          <w:sz w:val="24"/>
          <w:szCs w:val="24"/>
          <w:u w:val="single"/>
          <w:lang w:val="kk-KZ"/>
        </w:rPr>
      </w:pPr>
      <w:r w:rsidRPr="00C473D3">
        <w:rPr>
          <w:rFonts w:ascii="Times New Roman" w:hAnsi="Times New Roman"/>
          <w:i/>
          <w:iCs/>
          <w:sz w:val="24"/>
          <w:szCs w:val="24"/>
          <w:u w:val="single"/>
          <w:lang w:val="kk-KZ"/>
        </w:rPr>
        <w:t xml:space="preserve">Қабылдауды тоқтату немесе дозаны азайту </w:t>
      </w:r>
    </w:p>
    <w:p w14:paraId="6B649FAF" w14:textId="77777777" w:rsidR="00401F77" w:rsidRPr="005D4D1C" w:rsidRDefault="000A0115" w:rsidP="00401F77">
      <w:pPr>
        <w:spacing w:after="0" w:line="240" w:lineRule="auto"/>
        <w:ind w:left="-5"/>
        <w:jc w:val="both"/>
        <w:rPr>
          <w:rFonts w:ascii="Times New Roman" w:hAnsi="Times New Roman"/>
          <w:sz w:val="24"/>
          <w:szCs w:val="24"/>
          <w:lang w:val="kk-KZ"/>
        </w:rPr>
      </w:pPr>
      <w:r w:rsidRPr="00C473D3">
        <w:rPr>
          <w:rFonts w:ascii="Times New Roman" w:hAnsi="Times New Roman"/>
          <w:i/>
          <w:iCs/>
          <w:sz w:val="24"/>
          <w:szCs w:val="24"/>
          <w:lang w:val="kk-KZ"/>
        </w:rPr>
        <w:t xml:space="preserve">Жүрек-қантамыр жүйесі тарапынан бұзылулар </w:t>
      </w:r>
    </w:p>
    <w:p w14:paraId="0E4EFF7A" w14:textId="62B11A21"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Ланибпен емдеу сол қарыншаның шығару фракциясының 3 дәрежеге дейін немесе одан жоғары (Ұлттық Онкология Институтының жағымсыз құбылыстарды жіктеуі бойынша) төмендеу симптомдары пайда болған жағдайда немесе ол рұқсат етілген қалыптың шегінен төмен төмендеген жағдайда тоқтатылуы тиіс</w:t>
      </w:r>
      <w:r w:rsidR="006E370C" w:rsidRPr="006E370C">
        <w:rPr>
          <w:rFonts w:ascii="Times New Roman" w:hAnsi="Times New Roman"/>
          <w:sz w:val="24"/>
          <w:szCs w:val="24"/>
          <w:lang w:val="kk-KZ"/>
        </w:rPr>
        <w:t xml:space="preserve"> (4.4 бөлімін қараңыз)</w:t>
      </w:r>
      <w:r w:rsidRPr="00C473D3">
        <w:rPr>
          <w:rFonts w:ascii="Times New Roman" w:hAnsi="Times New Roman"/>
          <w:sz w:val="24"/>
          <w:szCs w:val="24"/>
          <w:lang w:val="kk-KZ"/>
        </w:rPr>
        <w:t xml:space="preserve">. Ланибпен емдеу 2 аптадан ерте емес және аз дозада (трастузумабпен тағайындағанда тәулігіне 750 мг, капецитабинмен біріктіргенде тәулігіне 1000 мг немесе ароматаза тежегішімен біріктіргенде тәулігіне 1250 мг) және сол қарыншаның шығару фракциясының деңгейі қалыптың рұқсат етілген шегінде болған жағдайда және тән симптомдары болмаған жағдайда ғана қайта басталуы мүмкін. </w:t>
      </w:r>
    </w:p>
    <w:p w14:paraId="07ABAB63" w14:textId="77777777" w:rsidR="00401F77" w:rsidRPr="005D4D1C" w:rsidRDefault="000A0115" w:rsidP="00401F77">
      <w:pPr>
        <w:spacing w:after="0" w:line="240" w:lineRule="auto"/>
        <w:ind w:left="-5"/>
        <w:jc w:val="both"/>
        <w:rPr>
          <w:rFonts w:ascii="Times New Roman" w:hAnsi="Times New Roman"/>
          <w:sz w:val="24"/>
          <w:szCs w:val="24"/>
          <w:lang w:val="kk-KZ"/>
        </w:rPr>
      </w:pPr>
      <w:r w:rsidRPr="00C473D3">
        <w:rPr>
          <w:rFonts w:ascii="Times New Roman" w:hAnsi="Times New Roman"/>
          <w:i/>
          <w:iCs/>
          <w:sz w:val="24"/>
          <w:szCs w:val="24"/>
          <w:lang w:val="kk-KZ"/>
        </w:rPr>
        <w:t xml:space="preserve">Интерстициялық өкпе процесі/пневмонит </w:t>
      </w:r>
    </w:p>
    <w:p w14:paraId="5FDAB40E" w14:textId="04E51B94"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Ланибпен емдеу 3 дәрежелі немесе одан жоғары өкпе симптомдары (Ұлттық Онкология Институтының жағымсыз құбылыстарды жіктеуі бойынша) пайда болған жағдайда тоқтатылуы тиіс</w:t>
      </w:r>
      <w:r w:rsidR="006E370C">
        <w:rPr>
          <w:rFonts w:ascii="Times New Roman" w:hAnsi="Times New Roman"/>
          <w:sz w:val="24"/>
          <w:szCs w:val="24"/>
          <w:lang w:val="kk-KZ"/>
        </w:rPr>
        <w:t xml:space="preserve"> </w:t>
      </w:r>
      <w:r w:rsidR="006E370C" w:rsidRPr="006E370C">
        <w:rPr>
          <w:rFonts w:ascii="Times New Roman" w:hAnsi="Times New Roman"/>
          <w:sz w:val="24"/>
          <w:szCs w:val="24"/>
          <w:lang w:val="kk-KZ"/>
        </w:rPr>
        <w:t>(</w:t>
      </w:r>
      <w:r w:rsidR="006E370C">
        <w:rPr>
          <w:rFonts w:ascii="Times New Roman" w:hAnsi="Times New Roman"/>
          <w:sz w:val="24"/>
          <w:szCs w:val="24"/>
          <w:lang w:val="kk-KZ"/>
        </w:rPr>
        <w:t>4.4</w:t>
      </w:r>
      <w:r w:rsidR="006E370C" w:rsidRPr="006E370C">
        <w:rPr>
          <w:rFonts w:ascii="Times New Roman" w:hAnsi="Times New Roman"/>
          <w:sz w:val="24"/>
          <w:szCs w:val="24"/>
          <w:lang w:val="kk-KZ"/>
        </w:rPr>
        <w:t xml:space="preserve"> бөлімін қараңыз).</w:t>
      </w:r>
    </w:p>
    <w:p w14:paraId="643A54AD" w14:textId="77777777" w:rsidR="00401F77" w:rsidRPr="005D4D1C" w:rsidRDefault="000A0115" w:rsidP="00401F77">
      <w:pPr>
        <w:spacing w:after="0" w:line="240" w:lineRule="auto"/>
        <w:ind w:left="-5"/>
        <w:jc w:val="both"/>
        <w:rPr>
          <w:rFonts w:ascii="Times New Roman" w:hAnsi="Times New Roman"/>
          <w:sz w:val="24"/>
          <w:szCs w:val="24"/>
          <w:lang w:val="kk-KZ"/>
        </w:rPr>
      </w:pPr>
      <w:r w:rsidRPr="00C473D3">
        <w:rPr>
          <w:rFonts w:ascii="Times New Roman" w:hAnsi="Times New Roman"/>
          <w:i/>
          <w:iCs/>
          <w:sz w:val="24"/>
          <w:szCs w:val="24"/>
          <w:lang w:val="kk-KZ"/>
        </w:rPr>
        <w:t xml:space="preserve">Диарея </w:t>
      </w:r>
    </w:p>
    <w:p w14:paraId="2CCF57A7" w14:textId="0C4240AA"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3-дәрежелі немесе 1-2 дәрежелі диареямен ауыратын пациенттерде жанама симптомдар (іш аймағындағы ауырлығы орташа немесе ауыр дәрежедегі спазмдар, Ұлттық Онкология Институтының жағымсыз құбылыстарды жіктеуі бойынша 2-дәрежелі немесе одан жоғары жүрек айнуы немесе құсу, </w:t>
      </w:r>
      <w:r w:rsidR="006E370C" w:rsidRPr="006E370C">
        <w:rPr>
          <w:rFonts w:ascii="Times New Roman" w:hAnsi="Times New Roman"/>
          <w:sz w:val="24"/>
          <w:szCs w:val="24"/>
          <w:lang w:val="kk-KZ"/>
        </w:rPr>
        <w:t>өнімділіктің төмендеуі</w:t>
      </w:r>
      <w:r w:rsidR="006E370C">
        <w:rPr>
          <w:rFonts w:ascii="Times New Roman" w:hAnsi="Times New Roman"/>
          <w:sz w:val="24"/>
          <w:szCs w:val="24"/>
          <w:lang w:val="kk-KZ"/>
        </w:rPr>
        <w:t>,</w:t>
      </w:r>
      <w:r w:rsidR="006E370C" w:rsidRPr="006E370C">
        <w:rPr>
          <w:rFonts w:ascii="Times New Roman" w:hAnsi="Times New Roman"/>
          <w:sz w:val="24"/>
          <w:szCs w:val="24"/>
          <w:lang w:val="kk-KZ"/>
        </w:rPr>
        <w:t xml:space="preserve"> </w:t>
      </w:r>
      <w:r w:rsidRPr="00C473D3">
        <w:rPr>
          <w:rFonts w:ascii="Times New Roman" w:hAnsi="Times New Roman"/>
          <w:sz w:val="24"/>
          <w:szCs w:val="24"/>
          <w:lang w:val="kk-KZ"/>
        </w:rPr>
        <w:t>қызба, сепсис, нейтропения, ашық қан кетулер, дегидратация) болған кезде Ланибті қабылдауды тоқтата тұру керек</w:t>
      </w:r>
      <w:r w:rsidR="0027428C">
        <w:rPr>
          <w:rFonts w:ascii="Times New Roman" w:hAnsi="Times New Roman"/>
          <w:sz w:val="24"/>
          <w:szCs w:val="24"/>
          <w:lang w:val="kk-KZ"/>
        </w:rPr>
        <w:t xml:space="preserve"> (</w:t>
      </w:r>
      <w:r w:rsidR="0027428C" w:rsidRPr="006E370C">
        <w:rPr>
          <w:rFonts w:ascii="Times New Roman" w:hAnsi="Times New Roman"/>
          <w:sz w:val="24"/>
          <w:szCs w:val="24"/>
          <w:lang w:val="kk-KZ"/>
        </w:rPr>
        <w:t xml:space="preserve">4.4 </w:t>
      </w:r>
      <w:r w:rsidR="0027428C">
        <w:rPr>
          <w:rFonts w:ascii="Times New Roman" w:hAnsi="Times New Roman"/>
          <w:sz w:val="24"/>
          <w:szCs w:val="24"/>
          <w:lang w:val="kk-KZ"/>
        </w:rPr>
        <w:t xml:space="preserve">және 4.8 </w:t>
      </w:r>
      <w:r w:rsidR="0027428C" w:rsidRPr="006E370C">
        <w:rPr>
          <w:rFonts w:ascii="Times New Roman" w:hAnsi="Times New Roman"/>
          <w:sz w:val="24"/>
          <w:szCs w:val="24"/>
          <w:lang w:val="kk-KZ"/>
        </w:rPr>
        <w:t>бөлімін қараңыз</w:t>
      </w:r>
      <w:r w:rsidR="0027428C">
        <w:rPr>
          <w:rFonts w:ascii="Times New Roman" w:hAnsi="Times New Roman"/>
          <w:sz w:val="24"/>
          <w:szCs w:val="24"/>
          <w:lang w:val="kk-KZ"/>
        </w:rPr>
        <w:t>)</w:t>
      </w:r>
      <w:r w:rsidRPr="00C473D3">
        <w:rPr>
          <w:rFonts w:ascii="Times New Roman" w:hAnsi="Times New Roman"/>
          <w:sz w:val="24"/>
          <w:szCs w:val="24"/>
          <w:lang w:val="kk-KZ"/>
        </w:rPr>
        <w:t xml:space="preserve">. Ланибпен емдеуді диарея дәрежесі 1 немесе одан төмен болған кезде препараттың аз дозаларымен (дозаны тәулігіне 1000 мг-дан тәулігіне 750 мг-ға дейін, тәулігіне 1250 мг-дан тәулігіне 1000 мг-ға дейін немесе тәулігіне 1500 мг-дан тәулігіне 1250 мг-ға дейін төмендету) жаңартуға болады. Ланиб 4-дәрежелі диарея дамыған кезде (Ұлттық Онкология институтының жағымсыз құбылыстарды жіктеуі бойынша) кейіннен жаңғыртусыз толық тоқтатылуы тиіс. </w:t>
      </w:r>
    </w:p>
    <w:p w14:paraId="29625D3D" w14:textId="77777777" w:rsidR="00401F77" w:rsidRPr="005D4D1C" w:rsidRDefault="000A0115" w:rsidP="00401F77">
      <w:pPr>
        <w:spacing w:after="0" w:line="240" w:lineRule="auto"/>
        <w:ind w:left="-5"/>
        <w:jc w:val="both"/>
        <w:rPr>
          <w:rFonts w:ascii="Times New Roman" w:hAnsi="Times New Roman"/>
          <w:sz w:val="24"/>
          <w:szCs w:val="24"/>
          <w:lang w:val="kk-KZ"/>
        </w:rPr>
      </w:pPr>
      <w:r w:rsidRPr="00C473D3">
        <w:rPr>
          <w:rFonts w:ascii="Times New Roman" w:hAnsi="Times New Roman"/>
          <w:i/>
          <w:iCs/>
          <w:sz w:val="24"/>
          <w:szCs w:val="24"/>
          <w:lang w:val="kk-KZ"/>
        </w:rPr>
        <w:t xml:space="preserve">Препараттың уыттылығының басқа көріністері </w:t>
      </w:r>
    </w:p>
    <w:p w14:paraId="3D9FB026" w14:textId="77777777" w:rsidR="00401F77" w:rsidRPr="005D4D1C" w:rsidRDefault="000A0115" w:rsidP="00B6462C">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Ланиб қолдануды тоқтату және тоқтата тұру туралы шешім дамушы уытты әсерлердің деңгейі Ұлттық Онкология институтының жағымсыз құбылыстарды жіктеуі бойынша 2-дәрежеден үлкен немесе оған тең болған кезде қабылдануы мүмкін. Егер уытты әсерлер деңгейі 1-дәрежеге дейін төмендесе және одан аз болса, трастузумабпен тағайындағанда </w:t>
      </w:r>
      <w:r w:rsidRPr="00C473D3">
        <w:rPr>
          <w:rFonts w:ascii="Times New Roman" w:hAnsi="Times New Roman"/>
          <w:sz w:val="24"/>
          <w:szCs w:val="24"/>
          <w:lang w:val="kk-KZ"/>
        </w:rPr>
        <w:lastRenderedPageBreak/>
        <w:t xml:space="preserve">тәулігіне 1000 мг, капецитабинмен тағайындағанда тәулігіне 1250 мг немесе ароматаза тежегішімен тағайындағанда тәулігіне 1500 мг дозадан емдеуді қайта бастауға болады. Уытты әсерлер қайтадан пайда болған жағдайда Ланибпен емдеу неғұрлым төмен дозада (трастузумабпен енгізген кезде тәулігіне 750 мг, капецитабинмен енгізген кезде тәулігіне 1000 мг немесе ароматаза тежегішімен енгізген кезде тәулігіне 1250 мг) қайта басталуы тиіс. </w:t>
      </w:r>
    </w:p>
    <w:p w14:paraId="3235641E" w14:textId="77777777" w:rsidR="003874D2" w:rsidRPr="005D4D1C" w:rsidRDefault="000A0115" w:rsidP="003874D2">
      <w:pPr>
        <w:spacing w:after="0" w:line="240" w:lineRule="auto"/>
        <w:jc w:val="both"/>
        <w:rPr>
          <w:rFonts w:ascii="Times New Roman" w:eastAsia="Times New Roman" w:hAnsi="Times New Roman"/>
          <w:b/>
          <w:sz w:val="24"/>
          <w:szCs w:val="24"/>
          <w:lang w:val="kk-KZ" w:eastAsia="ru-RU"/>
        </w:rPr>
      </w:pPr>
      <w:r w:rsidRPr="00C473D3">
        <w:rPr>
          <w:rFonts w:ascii="Times New Roman" w:eastAsia="Times New Roman" w:hAnsi="Times New Roman"/>
          <w:b/>
          <w:sz w:val="24"/>
          <w:szCs w:val="24"/>
          <w:lang w:val="kk-KZ" w:eastAsia="ru-RU"/>
        </w:rPr>
        <w:t>Пациенттердің ерекше топтары</w:t>
      </w:r>
    </w:p>
    <w:p w14:paraId="454EA339" w14:textId="77777777" w:rsidR="00401F77" w:rsidRPr="005D4D1C" w:rsidRDefault="000A0115" w:rsidP="003874D2">
      <w:pPr>
        <w:spacing w:after="0" w:line="240" w:lineRule="auto"/>
        <w:jc w:val="both"/>
        <w:rPr>
          <w:rFonts w:ascii="Times New Roman" w:hAnsi="Times New Roman"/>
          <w:sz w:val="24"/>
          <w:szCs w:val="24"/>
          <w:lang w:val="kk-KZ"/>
        </w:rPr>
      </w:pPr>
      <w:r w:rsidRPr="00C473D3">
        <w:rPr>
          <w:rFonts w:ascii="Times New Roman" w:hAnsi="Times New Roman"/>
          <w:i/>
          <w:iCs/>
          <w:sz w:val="24"/>
          <w:szCs w:val="24"/>
          <w:lang w:val="kk-KZ"/>
        </w:rPr>
        <w:t xml:space="preserve">Бүйрек функциясы бұзылған пациенттер </w:t>
      </w:r>
    </w:p>
    <w:p w14:paraId="74D890C1" w14:textId="0FD9A56F"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Бүйрек функциясының шамалы және орташа бұзылуы бар пациенттер үшін дозаны түзету талап етілмейді. Бүйрек функциясының ауыр бұзылуы бар пациенттерге ерекше назар аудару ұсынылады, өйткені пациенттердің осы тобында Ланибті қолдану тәжірибесі жоқ</w:t>
      </w:r>
      <w:r w:rsidR="006E370C">
        <w:rPr>
          <w:rFonts w:ascii="Times New Roman" w:hAnsi="Times New Roman"/>
          <w:sz w:val="24"/>
          <w:szCs w:val="24"/>
          <w:lang w:val="kk-KZ"/>
        </w:rPr>
        <w:t xml:space="preserve"> </w:t>
      </w:r>
      <w:r w:rsidR="006E370C" w:rsidRPr="006E370C">
        <w:rPr>
          <w:rFonts w:ascii="Times New Roman" w:hAnsi="Times New Roman"/>
          <w:sz w:val="24"/>
          <w:szCs w:val="24"/>
          <w:lang w:val="kk-KZ"/>
        </w:rPr>
        <w:t>(5.2 бөлімді қараңыз)</w:t>
      </w:r>
      <w:r w:rsidRPr="00C473D3">
        <w:rPr>
          <w:rFonts w:ascii="Times New Roman" w:hAnsi="Times New Roman"/>
          <w:sz w:val="24"/>
          <w:szCs w:val="24"/>
          <w:lang w:val="kk-KZ"/>
        </w:rPr>
        <w:t xml:space="preserve">. </w:t>
      </w:r>
    </w:p>
    <w:p w14:paraId="33362E28" w14:textId="77777777" w:rsidR="00401F77" w:rsidRPr="005D4D1C" w:rsidRDefault="000A0115" w:rsidP="00401F77">
      <w:pPr>
        <w:spacing w:after="0" w:line="240" w:lineRule="auto"/>
        <w:ind w:left="-5"/>
        <w:jc w:val="both"/>
        <w:rPr>
          <w:rFonts w:ascii="Times New Roman" w:hAnsi="Times New Roman"/>
          <w:sz w:val="24"/>
          <w:szCs w:val="24"/>
          <w:lang w:val="kk-KZ"/>
        </w:rPr>
      </w:pPr>
      <w:r w:rsidRPr="00C473D3">
        <w:rPr>
          <w:rFonts w:ascii="Times New Roman" w:hAnsi="Times New Roman"/>
          <w:i/>
          <w:iCs/>
          <w:sz w:val="24"/>
          <w:szCs w:val="24"/>
          <w:lang w:val="kk-KZ"/>
        </w:rPr>
        <w:t xml:space="preserve">Бауыр функциясының бұзылуы </w:t>
      </w:r>
    </w:p>
    <w:p w14:paraId="409579B1" w14:textId="25DEDBAB"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Бауыр функциясының ауыр бұзылуы бар пациенттерге Ланибпен емдеуді қабылдауды кейіннен жаңғыртпай тоқтату қажет</w:t>
      </w:r>
      <w:r w:rsidR="006E370C">
        <w:rPr>
          <w:rFonts w:ascii="Times New Roman" w:hAnsi="Times New Roman"/>
          <w:sz w:val="24"/>
          <w:szCs w:val="24"/>
          <w:lang w:val="kk-KZ"/>
        </w:rPr>
        <w:t xml:space="preserve"> </w:t>
      </w:r>
      <w:r w:rsidR="006E370C" w:rsidRPr="006E370C">
        <w:rPr>
          <w:rFonts w:ascii="Times New Roman" w:hAnsi="Times New Roman"/>
          <w:sz w:val="24"/>
          <w:szCs w:val="24"/>
          <w:lang w:val="kk-KZ"/>
        </w:rPr>
        <w:t>(</w:t>
      </w:r>
      <w:r w:rsidR="006E370C">
        <w:rPr>
          <w:rFonts w:ascii="Times New Roman" w:hAnsi="Times New Roman"/>
          <w:sz w:val="24"/>
          <w:szCs w:val="24"/>
          <w:lang w:val="kk-KZ"/>
        </w:rPr>
        <w:t xml:space="preserve">4.4 </w:t>
      </w:r>
      <w:r w:rsidR="006E370C" w:rsidRPr="006E370C">
        <w:rPr>
          <w:rFonts w:ascii="Times New Roman" w:hAnsi="Times New Roman"/>
          <w:sz w:val="24"/>
          <w:szCs w:val="24"/>
          <w:lang w:val="kk-KZ"/>
        </w:rPr>
        <w:t>бөлімді қараңыз)</w:t>
      </w:r>
      <w:r w:rsidRPr="00C473D3">
        <w:rPr>
          <w:rFonts w:ascii="Times New Roman" w:hAnsi="Times New Roman"/>
          <w:sz w:val="24"/>
          <w:szCs w:val="24"/>
          <w:lang w:val="kk-KZ"/>
        </w:rPr>
        <w:t xml:space="preserve">. </w:t>
      </w:r>
    </w:p>
    <w:p w14:paraId="416A47E1" w14:textId="4BEC3EB5"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Бауыр функциясының орташа және ауыр дәрежедегі бұзылуы бар пациенттерге дәрілік зат экспозициясының ұлғаюына байланысты Ланиб қабылдаған кезде сақ болу керек. Деректердің жеткіліксіздігіне байланысты бауыр функциясы бұзылған пациенттерде дозаны түзету бойынша ұсынымдар беру мүмкіндігі жоқ</w:t>
      </w:r>
      <w:r w:rsidR="006E370C">
        <w:rPr>
          <w:rFonts w:ascii="Times New Roman" w:hAnsi="Times New Roman"/>
          <w:sz w:val="24"/>
          <w:szCs w:val="24"/>
          <w:lang w:val="kk-KZ"/>
        </w:rPr>
        <w:t xml:space="preserve"> </w:t>
      </w:r>
      <w:r w:rsidR="006E370C" w:rsidRPr="006E370C">
        <w:rPr>
          <w:rFonts w:ascii="Times New Roman" w:hAnsi="Times New Roman"/>
          <w:sz w:val="24"/>
          <w:szCs w:val="24"/>
          <w:lang w:val="kk-KZ"/>
        </w:rPr>
        <w:t>(5.2 бөлімді қараңыз)</w:t>
      </w:r>
      <w:r w:rsidRPr="00C473D3">
        <w:rPr>
          <w:rFonts w:ascii="Times New Roman" w:hAnsi="Times New Roman"/>
          <w:sz w:val="24"/>
          <w:szCs w:val="24"/>
          <w:lang w:val="kk-KZ"/>
        </w:rPr>
        <w:t xml:space="preserve">. </w:t>
      </w:r>
    </w:p>
    <w:p w14:paraId="25544EA5" w14:textId="77777777"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i/>
          <w:iCs/>
          <w:sz w:val="24"/>
          <w:szCs w:val="24"/>
          <w:lang w:val="kk-KZ"/>
        </w:rPr>
        <w:t xml:space="preserve">Егде жастағы пациенттер </w:t>
      </w:r>
    </w:p>
    <w:p w14:paraId="2E59C37E" w14:textId="2CD87FD3"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 65 жастағы пациенттерде </w:t>
      </w:r>
      <w:r w:rsidR="0027428C" w:rsidRPr="0027428C">
        <w:rPr>
          <w:rFonts w:ascii="Times New Roman" w:hAnsi="Times New Roman"/>
          <w:sz w:val="24"/>
          <w:szCs w:val="24"/>
          <w:lang w:val="kk-KZ"/>
        </w:rPr>
        <w:t>лапатиниб</w:t>
      </w:r>
      <w:r w:rsidRPr="00C473D3">
        <w:rPr>
          <w:rFonts w:ascii="Times New Roman" w:hAnsi="Times New Roman"/>
          <w:sz w:val="24"/>
          <w:szCs w:val="24"/>
          <w:lang w:val="kk-KZ"/>
        </w:rPr>
        <w:t xml:space="preserve">ті капецитабинмен бірге және </w:t>
      </w:r>
      <w:r w:rsidR="0027428C" w:rsidRPr="0027428C">
        <w:rPr>
          <w:rFonts w:ascii="Times New Roman" w:hAnsi="Times New Roman"/>
          <w:sz w:val="24"/>
          <w:szCs w:val="24"/>
          <w:lang w:val="kk-KZ"/>
        </w:rPr>
        <w:t>лапатиниб</w:t>
      </w:r>
      <w:r w:rsidRPr="00C473D3">
        <w:rPr>
          <w:rFonts w:ascii="Times New Roman" w:hAnsi="Times New Roman"/>
          <w:sz w:val="24"/>
          <w:szCs w:val="24"/>
          <w:lang w:val="kk-KZ"/>
        </w:rPr>
        <w:t xml:space="preserve">ті трастузумабпен бірге  қолдану жөніндегі деректер шектеулі. </w:t>
      </w:r>
    </w:p>
    <w:p w14:paraId="44AD916A" w14:textId="77655E79" w:rsidR="00AA1665"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Летрозолмен бірге </w:t>
      </w:r>
      <w:r w:rsidR="0027428C" w:rsidRPr="0027428C">
        <w:rPr>
          <w:rFonts w:ascii="Times New Roman" w:hAnsi="Times New Roman"/>
          <w:sz w:val="24"/>
          <w:szCs w:val="24"/>
          <w:lang w:val="kk-KZ"/>
        </w:rPr>
        <w:t>лапатиниб</w:t>
      </w:r>
      <w:r w:rsidR="0027428C">
        <w:rPr>
          <w:rFonts w:ascii="Times New Roman" w:hAnsi="Times New Roman"/>
          <w:sz w:val="24"/>
          <w:szCs w:val="24"/>
          <w:lang w:val="kk-KZ"/>
        </w:rPr>
        <w:t>т</w:t>
      </w:r>
      <w:r w:rsidRPr="00C473D3">
        <w:rPr>
          <w:rFonts w:ascii="Times New Roman" w:hAnsi="Times New Roman"/>
          <w:sz w:val="24"/>
          <w:szCs w:val="24"/>
          <w:lang w:val="kk-KZ"/>
        </w:rPr>
        <w:t xml:space="preserve">і </w:t>
      </w:r>
      <w:r w:rsidR="0027428C" w:rsidRPr="00C473D3">
        <w:rPr>
          <w:rFonts w:ascii="Times New Roman" w:hAnsi="Times New Roman"/>
          <w:sz w:val="24"/>
          <w:szCs w:val="24"/>
          <w:lang w:val="kk-KZ"/>
        </w:rPr>
        <w:t>III фаза</w:t>
      </w:r>
      <w:r w:rsidR="0027428C">
        <w:rPr>
          <w:rFonts w:ascii="Times New Roman" w:hAnsi="Times New Roman"/>
          <w:sz w:val="24"/>
          <w:szCs w:val="24"/>
          <w:lang w:val="kk-KZ"/>
        </w:rPr>
        <w:t>дағы</w:t>
      </w:r>
      <w:r w:rsidR="0027428C" w:rsidRPr="00C473D3">
        <w:rPr>
          <w:rFonts w:ascii="Times New Roman" w:hAnsi="Times New Roman"/>
          <w:sz w:val="24"/>
          <w:szCs w:val="24"/>
          <w:lang w:val="kk-KZ"/>
        </w:rPr>
        <w:t xml:space="preserve"> </w:t>
      </w:r>
      <w:r w:rsidRPr="00C473D3">
        <w:rPr>
          <w:rFonts w:ascii="Times New Roman" w:hAnsi="Times New Roman"/>
          <w:sz w:val="24"/>
          <w:szCs w:val="24"/>
          <w:lang w:val="kk-KZ"/>
        </w:rPr>
        <w:t xml:space="preserve">клиникалық зерттеуде сүт безінің гормондық оң метастаздық обыры бар пациенттердің жалпы санынан (сынағына енгізілген науқастардың саны N = 642) 44%-ды ≥ 65 жастағы пациенттер құрады. Осы пациенттер мен &lt; 65 жастағы пациенттерде </w:t>
      </w:r>
      <w:r w:rsidR="0027428C" w:rsidRPr="0027428C">
        <w:rPr>
          <w:rFonts w:ascii="Times New Roman" w:hAnsi="Times New Roman"/>
          <w:sz w:val="24"/>
          <w:szCs w:val="24"/>
          <w:lang w:val="kk-KZ"/>
        </w:rPr>
        <w:t>лапатиниб</w:t>
      </w:r>
      <w:r w:rsidRPr="00C473D3">
        <w:rPr>
          <w:rFonts w:ascii="Times New Roman" w:hAnsi="Times New Roman"/>
          <w:sz w:val="24"/>
          <w:szCs w:val="24"/>
          <w:lang w:val="kk-KZ"/>
        </w:rPr>
        <w:t xml:space="preserve">ті летрозолмен бірге қолданудың тиімділігі мен қауіпсіздігінде айырмашылықтар байқалған жоқ. </w:t>
      </w:r>
    </w:p>
    <w:p w14:paraId="51B064C7" w14:textId="77777777" w:rsidR="00401F77" w:rsidRPr="005D4D1C" w:rsidRDefault="000A0115" w:rsidP="00401F77">
      <w:pPr>
        <w:spacing w:after="0" w:line="240" w:lineRule="auto"/>
        <w:ind w:left="-5" w:right="7"/>
        <w:jc w:val="both"/>
        <w:rPr>
          <w:rFonts w:ascii="Times New Roman" w:hAnsi="Times New Roman"/>
          <w:sz w:val="24"/>
          <w:szCs w:val="24"/>
          <w:lang w:val="kk-KZ"/>
        </w:rPr>
      </w:pPr>
      <w:r w:rsidRPr="00C473D3">
        <w:rPr>
          <w:rFonts w:ascii="Times New Roman" w:hAnsi="Times New Roman"/>
          <w:i/>
          <w:iCs/>
          <w:sz w:val="24"/>
          <w:szCs w:val="24"/>
          <w:lang w:val="kk-KZ"/>
        </w:rPr>
        <w:t xml:space="preserve">Педиатриялық популяция </w:t>
      </w:r>
    </w:p>
    <w:p w14:paraId="7716F4E4" w14:textId="77777777" w:rsidR="00401F77" w:rsidRPr="005D4D1C" w:rsidRDefault="000A0115" w:rsidP="00401F77">
      <w:pPr>
        <w:spacing w:after="0" w:line="240" w:lineRule="auto"/>
        <w:ind w:left="-5" w:right="7"/>
        <w:jc w:val="both"/>
        <w:rPr>
          <w:sz w:val="24"/>
          <w:szCs w:val="24"/>
          <w:lang w:val="kk-KZ"/>
        </w:rPr>
      </w:pPr>
      <w:r w:rsidRPr="00C473D3">
        <w:rPr>
          <w:rFonts w:ascii="Times New Roman" w:hAnsi="Times New Roman"/>
          <w:sz w:val="24"/>
          <w:szCs w:val="24"/>
          <w:lang w:val="kk-KZ"/>
        </w:rPr>
        <w:t>Лапатинибті 18 жасқа дейінгі балаларда қолданудың қауіпсіздігі мен тиімділігі анықталған жоқ</w:t>
      </w:r>
      <w:r w:rsidRPr="00C473D3">
        <w:rPr>
          <w:sz w:val="24"/>
          <w:szCs w:val="24"/>
          <w:lang w:val="kk-KZ"/>
        </w:rPr>
        <w:t xml:space="preserve">. </w:t>
      </w:r>
      <w:r w:rsidRPr="00C473D3">
        <w:rPr>
          <w:rFonts w:ascii="Times New Roman" w:hAnsi="Times New Roman"/>
          <w:sz w:val="24"/>
          <w:szCs w:val="24"/>
          <w:lang w:val="kk-KZ"/>
        </w:rPr>
        <w:t xml:space="preserve">Деректер жоқ. </w:t>
      </w:r>
    </w:p>
    <w:p w14:paraId="46BDBD6C" w14:textId="77777777" w:rsidR="009F5A85" w:rsidRPr="005D4D1C" w:rsidRDefault="000A0115" w:rsidP="0078568D">
      <w:pPr>
        <w:spacing w:after="0" w:line="240" w:lineRule="auto"/>
        <w:jc w:val="both"/>
        <w:rPr>
          <w:rFonts w:ascii="Times New Roman" w:hAnsi="Times New Roman"/>
          <w:b/>
          <w:sz w:val="24"/>
          <w:szCs w:val="24"/>
          <w:lang w:val="kk-KZ" w:bidi="ru-RU"/>
        </w:rPr>
      </w:pPr>
      <w:r w:rsidRPr="00C473D3">
        <w:rPr>
          <w:rFonts w:ascii="Times New Roman" w:hAnsi="Times New Roman"/>
          <w:b/>
          <w:sz w:val="24"/>
          <w:szCs w:val="24"/>
          <w:lang w:val="kk-KZ" w:bidi="ru-RU"/>
        </w:rPr>
        <w:t xml:space="preserve">Қолдану тәсілі </w:t>
      </w:r>
    </w:p>
    <w:p w14:paraId="7818B5F7" w14:textId="77777777" w:rsidR="00D136FE" w:rsidRPr="005D4D1C" w:rsidRDefault="000A0115" w:rsidP="0078568D">
      <w:pPr>
        <w:spacing w:after="0" w:line="240" w:lineRule="auto"/>
        <w:jc w:val="both"/>
        <w:rPr>
          <w:rFonts w:ascii="Times New Roman" w:hAnsi="Times New Roman"/>
          <w:sz w:val="24"/>
          <w:szCs w:val="24"/>
          <w:lang w:val="kk-KZ"/>
        </w:rPr>
      </w:pPr>
      <w:r w:rsidRPr="00C473D3">
        <w:rPr>
          <w:rFonts w:ascii="Times New Roman" w:hAnsi="Times New Roman"/>
          <w:sz w:val="24"/>
          <w:szCs w:val="24"/>
          <w:lang w:val="kk-KZ"/>
        </w:rPr>
        <w:t>Пероральді.</w:t>
      </w:r>
    </w:p>
    <w:p w14:paraId="6709CDD9" w14:textId="7DA31D76" w:rsidR="003874D2" w:rsidRPr="005D4D1C" w:rsidRDefault="000A0115" w:rsidP="003874D2">
      <w:pPr>
        <w:spacing w:after="0" w:line="240" w:lineRule="auto"/>
        <w:ind w:left="-6" w:right="6"/>
        <w:jc w:val="both"/>
        <w:rPr>
          <w:rFonts w:ascii="Times New Roman" w:hAnsi="Times New Roman"/>
          <w:sz w:val="24"/>
          <w:szCs w:val="24"/>
          <w:lang w:val="kk-KZ"/>
        </w:rPr>
      </w:pPr>
      <w:r w:rsidRPr="00C473D3">
        <w:rPr>
          <w:rFonts w:ascii="Times New Roman" w:hAnsi="Times New Roman"/>
          <w:sz w:val="24"/>
          <w:szCs w:val="24"/>
          <w:lang w:val="kk-KZ"/>
        </w:rPr>
        <w:t>Препараттың тәуліктік дозасын бөлуге болмайды. Препаратты тамақтанудан кемінде бір сағат бұрын немесе бір сағаттан кейін қабылдау керек. Препаратты әр түрлі уақытта қабылдауды барынша азайту үшін оны тамақтануға қатысты стандартты кесте бойынша қабылдау керек, мысалы, әрқашан тамақтанудан бір сағат бұрын қабылдау керек</w:t>
      </w:r>
      <w:r w:rsidR="0027428C">
        <w:rPr>
          <w:rFonts w:ascii="Times New Roman" w:hAnsi="Times New Roman"/>
          <w:sz w:val="24"/>
          <w:szCs w:val="24"/>
          <w:lang w:val="kk-KZ"/>
        </w:rPr>
        <w:t xml:space="preserve"> </w:t>
      </w:r>
      <w:r w:rsidR="0027428C" w:rsidRPr="006E370C">
        <w:rPr>
          <w:rFonts w:ascii="Times New Roman" w:hAnsi="Times New Roman"/>
          <w:sz w:val="24"/>
          <w:szCs w:val="24"/>
          <w:lang w:val="kk-KZ"/>
        </w:rPr>
        <w:t>(</w:t>
      </w:r>
      <w:r w:rsidR="0027428C">
        <w:rPr>
          <w:rFonts w:ascii="Times New Roman" w:hAnsi="Times New Roman"/>
          <w:sz w:val="24"/>
          <w:szCs w:val="24"/>
          <w:lang w:val="kk-KZ"/>
        </w:rPr>
        <w:t xml:space="preserve">4.5 және </w:t>
      </w:r>
      <w:r w:rsidR="0027428C" w:rsidRPr="006E370C">
        <w:rPr>
          <w:rFonts w:ascii="Times New Roman" w:hAnsi="Times New Roman"/>
          <w:sz w:val="24"/>
          <w:szCs w:val="24"/>
          <w:lang w:val="kk-KZ"/>
        </w:rPr>
        <w:t>5.2 бөлімді қараңыз)</w:t>
      </w:r>
      <w:r w:rsidRPr="00C473D3">
        <w:rPr>
          <w:rFonts w:ascii="Times New Roman" w:hAnsi="Times New Roman"/>
          <w:sz w:val="24"/>
          <w:szCs w:val="24"/>
          <w:lang w:val="kk-KZ"/>
        </w:rPr>
        <w:t xml:space="preserve">. </w:t>
      </w:r>
    </w:p>
    <w:p w14:paraId="7E2AE741" w14:textId="2D6720B8" w:rsidR="003874D2" w:rsidRPr="005D4D1C" w:rsidRDefault="000A0115" w:rsidP="003874D2">
      <w:pPr>
        <w:spacing w:after="0" w:line="240" w:lineRule="auto"/>
        <w:ind w:left="-6" w:right="6"/>
        <w:jc w:val="both"/>
        <w:rPr>
          <w:rFonts w:ascii="Times New Roman" w:hAnsi="Times New Roman"/>
          <w:sz w:val="24"/>
          <w:szCs w:val="24"/>
          <w:lang w:val="kk-KZ"/>
        </w:rPr>
      </w:pPr>
      <w:r w:rsidRPr="00C473D3">
        <w:rPr>
          <w:rFonts w:ascii="Times New Roman" w:hAnsi="Times New Roman"/>
          <w:sz w:val="24"/>
          <w:szCs w:val="24"/>
          <w:lang w:val="kk-KZ"/>
        </w:rPr>
        <w:t>Өткізіп алған дозалардың орнын толтыруға болмайды, яғни келесі тәуліктік дозаны кесте бойынша қабылдау қажет</w:t>
      </w:r>
      <w:r w:rsidR="006E370C">
        <w:rPr>
          <w:rFonts w:ascii="Times New Roman" w:hAnsi="Times New Roman"/>
          <w:sz w:val="24"/>
          <w:szCs w:val="24"/>
          <w:lang w:val="kk-KZ"/>
        </w:rPr>
        <w:t xml:space="preserve"> </w:t>
      </w:r>
      <w:r w:rsidR="006E370C" w:rsidRPr="006E370C">
        <w:rPr>
          <w:rFonts w:ascii="Times New Roman" w:hAnsi="Times New Roman"/>
          <w:sz w:val="24"/>
          <w:szCs w:val="24"/>
          <w:lang w:val="kk-KZ"/>
        </w:rPr>
        <w:t>(</w:t>
      </w:r>
      <w:r w:rsidR="006E370C">
        <w:rPr>
          <w:rFonts w:ascii="Times New Roman" w:hAnsi="Times New Roman"/>
          <w:sz w:val="24"/>
          <w:szCs w:val="24"/>
          <w:lang w:val="kk-KZ"/>
        </w:rPr>
        <w:t>4.9</w:t>
      </w:r>
      <w:r w:rsidR="006E370C" w:rsidRPr="006E370C">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xml:space="preserve">. </w:t>
      </w:r>
    </w:p>
    <w:p w14:paraId="4EF69842" w14:textId="729C1DAE" w:rsidR="0078568D" w:rsidRDefault="00CB09FA" w:rsidP="003874D2">
      <w:pPr>
        <w:spacing w:after="0" w:line="240" w:lineRule="auto"/>
        <w:ind w:left="-6" w:right="6"/>
        <w:jc w:val="both"/>
        <w:rPr>
          <w:rFonts w:ascii="Times New Roman" w:hAnsi="Times New Roman"/>
          <w:sz w:val="24"/>
          <w:szCs w:val="24"/>
          <w:lang w:val="kk-KZ"/>
        </w:rPr>
      </w:pPr>
      <w:r>
        <w:rPr>
          <w:rFonts w:ascii="Times New Roman" w:hAnsi="Times New Roman"/>
          <w:sz w:val="24"/>
          <w:szCs w:val="24"/>
          <w:lang w:val="kk-KZ"/>
        </w:rPr>
        <w:t>Біріктірілген</w:t>
      </w:r>
      <w:r w:rsidR="000A0115" w:rsidRPr="00C473D3">
        <w:rPr>
          <w:rFonts w:ascii="Times New Roman" w:hAnsi="Times New Roman"/>
          <w:sz w:val="24"/>
          <w:szCs w:val="24"/>
          <w:lang w:val="kk-KZ"/>
        </w:rPr>
        <w:t xml:space="preserve"> </w:t>
      </w:r>
      <w:r>
        <w:rPr>
          <w:rFonts w:ascii="Times New Roman" w:hAnsi="Times New Roman"/>
          <w:sz w:val="24"/>
          <w:szCs w:val="24"/>
          <w:lang w:val="kk-KZ"/>
        </w:rPr>
        <w:t xml:space="preserve">ем </w:t>
      </w:r>
      <w:r w:rsidR="000A0115" w:rsidRPr="00C473D3">
        <w:rPr>
          <w:rFonts w:ascii="Times New Roman" w:hAnsi="Times New Roman"/>
          <w:sz w:val="24"/>
          <w:szCs w:val="24"/>
          <w:lang w:val="kk-KZ"/>
        </w:rPr>
        <w:t xml:space="preserve">кезінде дозалау, дозаларды төмендету, </w:t>
      </w:r>
      <w:r>
        <w:rPr>
          <w:rFonts w:ascii="Times New Roman" w:hAnsi="Times New Roman"/>
          <w:sz w:val="24"/>
          <w:szCs w:val="24"/>
          <w:lang w:val="kk-KZ"/>
        </w:rPr>
        <w:t>қолдануға болмайтын жағдайлар</w:t>
      </w:r>
      <w:r w:rsidR="000A0115" w:rsidRPr="00C473D3">
        <w:rPr>
          <w:rFonts w:ascii="Times New Roman" w:hAnsi="Times New Roman"/>
          <w:sz w:val="24"/>
          <w:szCs w:val="24"/>
          <w:lang w:val="kk-KZ"/>
        </w:rPr>
        <w:t xml:space="preserve"> және қауіпсіздік туралы ақпарат үшін қатар тағайындалған препараттардың нұсқаулықтарымен танысу ұсынылады. </w:t>
      </w:r>
    </w:p>
    <w:p w14:paraId="6A2B8076" w14:textId="77777777" w:rsidR="0067502C" w:rsidRPr="005D4D1C" w:rsidRDefault="0067502C" w:rsidP="003874D2">
      <w:pPr>
        <w:spacing w:after="0" w:line="240" w:lineRule="auto"/>
        <w:ind w:left="-6" w:right="6"/>
        <w:jc w:val="both"/>
        <w:rPr>
          <w:rFonts w:ascii="Times New Roman" w:hAnsi="Times New Roman"/>
          <w:sz w:val="24"/>
          <w:szCs w:val="24"/>
          <w:lang w:val="kk-KZ"/>
        </w:rPr>
      </w:pPr>
    </w:p>
    <w:p w14:paraId="653BE854" w14:textId="77777777" w:rsidR="007D0E84" w:rsidRPr="005D4D1C" w:rsidRDefault="000A0115" w:rsidP="0078568D">
      <w:pPr>
        <w:spacing w:after="0" w:line="240" w:lineRule="auto"/>
        <w:jc w:val="both"/>
        <w:rPr>
          <w:rFonts w:ascii="Times New Roman" w:eastAsia="Times New Roman" w:hAnsi="Times New Roman"/>
          <w:b/>
          <w:sz w:val="24"/>
          <w:szCs w:val="24"/>
          <w:lang w:val="kk-KZ" w:eastAsia="ru-RU"/>
        </w:rPr>
      </w:pPr>
      <w:r w:rsidRPr="00C473D3">
        <w:rPr>
          <w:rFonts w:ascii="Times New Roman" w:eastAsia="Times New Roman" w:hAnsi="Times New Roman"/>
          <w:b/>
          <w:sz w:val="24"/>
          <w:szCs w:val="24"/>
          <w:lang w:val="kk-KZ" w:eastAsia="ru-RU"/>
        </w:rPr>
        <w:t>4.3 Қолдануға болмайтын жағдайлар</w:t>
      </w:r>
    </w:p>
    <w:p w14:paraId="464CBBE0" w14:textId="77777777" w:rsidR="007D0E84" w:rsidRPr="005D4D1C" w:rsidRDefault="000A0115" w:rsidP="0078568D">
      <w:pPr>
        <w:autoSpaceDE w:val="0"/>
        <w:autoSpaceDN w:val="0"/>
        <w:spacing w:after="0" w:line="240" w:lineRule="auto"/>
        <w:jc w:val="both"/>
        <w:rPr>
          <w:rFonts w:ascii="Times New Roman" w:hAnsi="Times New Roman"/>
          <w:sz w:val="24"/>
          <w:szCs w:val="24"/>
          <w:lang w:val="kk-KZ"/>
        </w:rPr>
      </w:pPr>
      <w:r w:rsidRPr="00C473D3">
        <w:rPr>
          <w:rFonts w:ascii="Times New Roman" w:hAnsi="Times New Roman"/>
          <w:sz w:val="24"/>
          <w:szCs w:val="24"/>
          <w:lang w:val="kk-KZ"/>
        </w:rPr>
        <w:t>Белсенді затқа немесе 6.1-бөлімде берілген қосымша заттардың кез келгеніне жоғары сезімталдық.</w:t>
      </w:r>
    </w:p>
    <w:p w14:paraId="08D066A8" w14:textId="77777777" w:rsidR="008D20BD" w:rsidRPr="005D4D1C" w:rsidRDefault="008D20BD" w:rsidP="0078568D">
      <w:pPr>
        <w:autoSpaceDE w:val="0"/>
        <w:autoSpaceDN w:val="0"/>
        <w:spacing w:after="0" w:line="240" w:lineRule="auto"/>
        <w:jc w:val="both"/>
        <w:rPr>
          <w:rFonts w:ascii="Times New Roman" w:eastAsia="Times New Roman" w:hAnsi="Times New Roman"/>
          <w:sz w:val="24"/>
          <w:szCs w:val="24"/>
          <w:lang w:val="kk-KZ" w:eastAsia="ru-RU"/>
        </w:rPr>
      </w:pPr>
    </w:p>
    <w:p w14:paraId="3DFEEC2F" w14:textId="77777777" w:rsidR="00B10089" w:rsidRPr="005D4D1C" w:rsidRDefault="000A0115" w:rsidP="0078568D">
      <w:pPr>
        <w:spacing w:after="0" w:line="240" w:lineRule="auto"/>
        <w:jc w:val="both"/>
        <w:rPr>
          <w:rFonts w:ascii="Times New Roman" w:eastAsia="Times New Roman" w:hAnsi="Times New Roman"/>
          <w:b/>
          <w:sz w:val="24"/>
          <w:szCs w:val="24"/>
          <w:lang w:val="kk-KZ" w:eastAsia="ru-RU"/>
        </w:rPr>
      </w:pPr>
      <w:r w:rsidRPr="00C473D3">
        <w:rPr>
          <w:rFonts w:ascii="Times New Roman" w:eastAsia="Times New Roman" w:hAnsi="Times New Roman"/>
          <w:b/>
          <w:sz w:val="24"/>
          <w:szCs w:val="24"/>
          <w:lang w:val="kk-KZ" w:eastAsia="ru-RU"/>
        </w:rPr>
        <w:t>4.4 Айрықша нұсқаулар және қолдану кезіндегі сақтандыру шаралары</w:t>
      </w:r>
    </w:p>
    <w:p w14:paraId="77B7A6E8" w14:textId="77777777"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Қолда бар мәліметтерге сәйкес, химиотерапиямен үйлесімдегі Ланиб химиотерапиямен үйлесімдегі трастузумабқа қарағанда аз тиімді. </w:t>
      </w:r>
    </w:p>
    <w:p w14:paraId="5B8AF855" w14:textId="77777777" w:rsidR="008D20BD" w:rsidRPr="005D4D1C" w:rsidRDefault="000A0115" w:rsidP="008D20BD">
      <w:pPr>
        <w:spacing w:after="0" w:line="240" w:lineRule="auto"/>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Кардиоуыттылық </w:t>
      </w:r>
    </w:p>
    <w:p w14:paraId="7D65BE00" w14:textId="00FA1AAC"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lastRenderedPageBreak/>
        <w:t>Лапатиниб қабылдаумен байланысты сол жақ қарыншаның шығару фракциясының азаю жағдайлары туралы хабарланды</w:t>
      </w:r>
      <w:r w:rsidR="006E370C">
        <w:rPr>
          <w:rFonts w:ascii="Times New Roman" w:hAnsi="Times New Roman"/>
          <w:sz w:val="24"/>
          <w:szCs w:val="24"/>
          <w:lang w:val="kk-KZ"/>
        </w:rPr>
        <w:t xml:space="preserve"> </w:t>
      </w:r>
      <w:r w:rsidR="006E370C" w:rsidRPr="006E370C">
        <w:rPr>
          <w:rFonts w:ascii="Times New Roman" w:hAnsi="Times New Roman"/>
          <w:sz w:val="24"/>
          <w:szCs w:val="24"/>
          <w:lang w:val="kk-KZ"/>
        </w:rPr>
        <w:t>(</w:t>
      </w:r>
      <w:r w:rsidR="006E370C">
        <w:rPr>
          <w:rFonts w:ascii="Times New Roman" w:hAnsi="Times New Roman"/>
          <w:sz w:val="24"/>
          <w:szCs w:val="24"/>
          <w:lang w:val="kk-KZ"/>
        </w:rPr>
        <w:t>4.8</w:t>
      </w:r>
      <w:r w:rsidR="006E370C" w:rsidRPr="006E370C">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Лапатинибтің әсері жүрек жеткіліксіздігінің симптомдары бар пациенттерге қатысты бағаланбады. Сол жақ қарынша функциясының нашарлауына алып келуі мүмкін клиникалық жағдайдағы пациенттерге Ланиб тағайындаған кезде (оның ішінде әлеуетті кардиоуытты препараттармен бірге енгізу кезінде) сақ болу қажет. Ланибпен емдеуді бастар алдында барлық пациенттер жүрек функциясын бағалауы, сондай-ақ сол қарыншаның шығару фракциясының деңгейі рұқсат етілген мәндер шегінде екендігіне көз жеткізу үшін сол қарыншаның шығару фракциясының деңгейін анықтауы қажет. Сол жақ қарыншаның шығару фракциясы қолайсыз деңгейге дейін төмендемеуі үшін Ланибпен емдеу кезінде сол жақ қарыншаның шығару фракциясын бағалауды жалғастыру қажет</w:t>
      </w:r>
      <w:r w:rsidR="006E370C">
        <w:rPr>
          <w:rFonts w:ascii="Times New Roman" w:hAnsi="Times New Roman"/>
          <w:sz w:val="24"/>
          <w:szCs w:val="24"/>
          <w:lang w:val="kk-KZ"/>
        </w:rPr>
        <w:t xml:space="preserve"> </w:t>
      </w:r>
      <w:r w:rsidR="006E370C" w:rsidRPr="006E370C">
        <w:rPr>
          <w:rFonts w:ascii="Times New Roman" w:hAnsi="Times New Roman"/>
          <w:sz w:val="24"/>
          <w:szCs w:val="24"/>
          <w:lang w:val="kk-KZ"/>
        </w:rPr>
        <w:t>(4.2 бөлімді қараңыз)</w:t>
      </w:r>
      <w:r w:rsidRPr="00C473D3">
        <w:rPr>
          <w:rFonts w:ascii="Times New Roman" w:hAnsi="Times New Roman"/>
          <w:sz w:val="24"/>
          <w:szCs w:val="24"/>
          <w:lang w:val="kk-KZ"/>
        </w:rPr>
        <w:t xml:space="preserve">. Кейбір жағдайларда сол жақ қарыншаның шығару фракциясының төмендеуі өте ауыр болуы және жүрек жеткіліксіздігіне әкелуі мүмкін. Себебі анықталмаған өлім туралы хабарланды. Лапатинибті клиникалық зерттеу кезінде жүрек тарапынан асқынулар, оның ішінде пациенттердің шамамен 1%-ында сол жақ қарыншаның шығару фракциясының төмендеуі анықталды. Лапатиниб қабылдаған пациенттердің шамамен 0,3% - ында сол жақ қарыншаның шығару фракциясының төмендеу симптомдары дамыды. Лапатинибті трастузумабпен біріктіріп қолданған кезде метастаздық формаларды емдеу сызбасына сәйкес, сол жақ қарыншаның шығару фракциясының төмендеуін қоса алғанда, жүрек патологиясының дамуы базалық клиникалық зерттеуде монотерапия ретінде лапатиниб тағайындаумен салыстырғанда (7%) жоғары болды. Жүрек тарапынан асқынулардың ауырлығы мен табиғаты лапатинибті қолдану кезінде анықталғандармен салыстырмалы болды. </w:t>
      </w:r>
    </w:p>
    <w:p w14:paraId="43370022" w14:textId="77777777"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Концентрацияға байланысты QTc аралығының ұлғаюы плацебо-бақылауы бар арнайы айқаспалы зерттеуде көрсетілді, оған жоғары сатыдағы тығыз ісіктері бар адамдар қатысты. </w:t>
      </w:r>
    </w:p>
    <w:p w14:paraId="300CF530" w14:textId="0B953ABF"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QTc аралығының ұзаруына (гипокалиемияны, гипомагнемияны және QT туа біткен ұзақ аралығы синдромын қоса алғанда) әкелуі мүмкін клиникалық жағдайы бар пациенттерге Ланиб тағайындау кезінде, сондай-ақ QT аралығының ұзаруына ықпал ететіні белгілі басқа да медициналық препараттарды бір мезгілде тағайындау кезінде немесе Лапатиниб әсерін арттыратын клиникалық жағдайлар болған кезде, мысалы, CYP3A4 күшті тежегіштерін бір мезгілде қабылдау кезінде сақ болу қажет. Гипокалиемия және гипомагниемия ем басталғанға дейін түзетілуі тиіс. Ланибпен емдеуді бастағанға дейін және препаратты қабылдауды бастағаннан кейін </w:t>
      </w:r>
      <w:r w:rsidR="00C57887">
        <w:rPr>
          <w:rFonts w:ascii="Times New Roman" w:hAnsi="Times New Roman"/>
          <w:sz w:val="24"/>
          <w:szCs w:val="24"/>
          <w:lang w:val="kk-KZ"/>
        </w:rPr>
        <w:t xml:space="preserve">бір немесе </w:t>
      </w:r>
      <w:r w:rsidRPr="00C473D3">
        <w:rPr>
          <w:rFonts w:ascii="Times New Roman" w:hAnsi="Times New Roman"/>
          <w:sz w:val="24"/>
          <w:szCs w:val="24"/>
          <w:lang w:val="kk-KZ"/>
        </w:rPr>
        <w:t xml:space="preserve">екі аптадан соң QT аралығын өлшей отырып, ЭКГ орындау қажет. Клиникалық көрсетілімдер болған кезде, мысалы, QT аралығының ұзындығына әсер етуі немесе лапатинибпен өзара әрекеттесуі мүмкін препараттарды бір мезгілде қабылдауды бастағаннан кейін, ЭКГ орындауды қарастыру керек. </w:t>
      </w:r>
    </w:p>
    <w:p w14:paraId="7C270E4C" w14:textId="77777777" w:rsidR="008D20BD" w:rsidRPr="005D4D1C" w:rsidRDefault="000A0115" w:rsidP="008D20BD">
      <w:pPr>
        <w:spacing w:after="0" w:line="240" w:lineRule="auto"/>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Интерстициялық өкпе процесі және пневмонит </w:t>
      </w:r>
    </w:p>
    <w:p w14:paraId="015C6DFA" w14:textId="7478CDC1" w:rsidR="008D20BD" w:rsidRPr="005D4D1C" w:rsidRDefault="000A0115" w:rsidP="008D20BD">
      <w:pPr>
        <w:spacing w:after="0" w:line="240" w:lineRule="auto"/>
        <w:jc w:val="both"/>
        <w:rPr>
          <w:rFonts w:ascii="Times New Roman" w:hAnsi="Times New Roman"/>
          <w:sz w:val="24"/>
          <w:szCs w:val="24"/>
          <w:lang w:val="kk-KZ"/>
        </w:rPr>
      </w:pPr>
      <w:r w:rsidRPr="00C473D3">
        <w:rPr>
          <w:rFonts w:ascii="Times New Roman" w:hAnsi="Times New Roman"/>
          <w:sz w:val="24"/>
          <w:szCs w:val="24"/>
          <w:lang w:val="kk-KZ"/>
        </w:rPr>
        <w:t>Лапатинибті қолданумен байланысты өкпенің интерстициялық ауруы мен пневмонитті қоса, өкпе уыттылығы жағдайлары туралы хабарланды</w:t>
      </w:r>
      <w:r w:rsidR="00C57887">
        <w:rPr>
          <w:rFonts w:ascii="Times New Roman" w:hAnsi="Times New Roman"/>
          <w:sz w:val="24"/>
          <w:szCs w:val="24"/>
          <w:lang w:val="kk-KZ"/>
        </w:rPr>
        <w:t xml:space="preserve"> </w:t>
      </w:r>
      <w:r w:rsidR="00C57887" w:rsidRPr="006E370C">
        <w:rPr>
          <w:rFonts w:ascii="Times New Roman" w:hAnsi="Times New Roman"/>
          <w:sz w:val="24"/>
          <w:szCs w:val="24"/>
          <w:lang w:val="kk-KZ"/>
        </w:rPr>
        <w:t>(4.</w:t>
      </w:r>
      <w:r w:rsidR="00C57887">
        <w:rPr>
          <w:rFonts w:ascii="Times New Roman" w:hAnsi="Times New Roman"/>
          <w:sz w:val="24"/>
          <w:szCs w:val="24"/>
          <w:lang w:val="kk-KZ"/>
        </w:rPr>
        <w:t>8</w:t>
      </w:r>
      <w:r w:rsidR="00C57887" w:rsidRPr="006E370C">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xml:space="preserve">. Пациенттер өкпе уыттылығы (ентігу, жөтел, қызба) симптомдарының болуына бақылануы тиіс және 3 дәрежелі немесе одан жоғары симптомдарды (Ұлттық Онкология институтының жағымсыз құбылыстар жіктеуі бойынша) бастан кешіретін пациенттерге препаратпен емдеуді тоқтату керек. Өкпе уыттылығы ауыр болуы және тыныс алу жеткіліксіздігіне әкелуі мүмкін. Себебі анықталмаған өлім туралы хабарланды. </w:t>
      </w:r>
    </w:p>
    <w:p w14:paraId="51F3C6BE" w14:textId="77777777" w:rsidR="008D20BD" w:rsidRPr="005D4D1C" w:rsidRDefault="000A0115" w:rsidP="008D20BD">
      <w:pPr>
        <w:spacing w:after="0" w:line="240" w:lineRule="auto"/>
        <w:jc w:val="both"/>
        <w:rPr>
          <w:rFonts w:ascii="Times New Roman" w:hAnsi="Times New Roman"/>
          <w:i/>
          <w:sz w:val="24"/>
          <w:szCs w:val="24"/>
          <w:lang w:val="kk-KZ"/>
        </w:rPr>
      </w:pPr>
      <w:r w:rsidRPr="00C473D3">
        <w:rPr>
          <w:rFonts w:ascii="Times New Roman" w:hAnsi="Times New Roman"/>
          <w:i/>
          <w:sz w:val="24"/>
          <w:szCs w:val="24"/>
          <w:lang w:val="kk-KZ"/>
        </w:rPr>
        <w:t xml:space="preserve">Гепатоуыттылық </w:t>
      </w:r>
    </w:p>
    <w:p w14:paraId="101C4656" w14:textId="77777777"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Ланибті қолдану препараттың бауырға уытты әсерімен бірге жүреді, бұл сирек жағдайларда өлімге әкелуі мүмкін. Гепатоуыттылық ем басталғаннан бастап бірнеше күннен бірнеше айға дейінгі кезеңде дамуы мүмкін. Пациенттер емнің басында болуы мүмкін гепатоуыттылық туралы ескертілуі тиіс. Бауыр функциясын (трансаминаза, билирубин және сілтілі фосфатаза деңгейі) емдеу басталғанға дейін, содан кейін ай </w:t>
      </w:r>
      <w:r w:rsidRPr="00C473D3">
        <w:rPr>
          <w:rFonts w:ascii="Times New Roman" w:hAnsi="Times New Roman"/>
          <w:sz w:val="24"/>
          <w:szCs w:val="24"/>
          <w:lang w:val="kk-KZ"/>
        </w:rPr>
        <w:lastRenderedPageBreak/>
        <w:t xml:space="preserve">сайын немесе клиникалық көрсетілімдер бойынша бақылау керек. Бауыр функциясының ауыр бұзылуы бар пациенттерді Ланибпен емдеуді кейіннен жаңғыртусыз тоқтату қажет. Лапатиниб қабылдаумен байланысты гепатоуыттылықтың даму қаупі HLA DQA1*02:01 және DRB1*07:01 аллел тасымалдаушысы бар пациенттерде артады. Ірі рандомизацияланған клиникалық зерттеуде лапатинибті монотерапия ретінде тағайындау кезінде (n=1,194) бауырдың ауыр зақымдануының жалпы жиілігі (АЛТ қалыптың жоғарғы шегінен 5 есе жоғары, Ұлттық Онкология институтының жағымсыз құбылыстар жіктеуі бойынша 3-дәреже) емдеудің 1 жылы ішінде 2,8%-ды құрады. DQA1*02:01 және DRB1*07:01 аллельдерін тасымалдаушы пациенттерде бауырдың зақымдану жиілігі 10,3%-ды, осы аллель болмаған пациенттерде – 0,5%-ды құрады. HLA аллелін тасымалдау жиілігі еуропалықтар, азиялықтар, африкалықтар және испандықтарда 15-тен 25%-ға дейін, бірақ жапондарда шамалы (1%). </w:t>
      </w:r>
    </w:p>
    <w:p w14:paraId="0195A1A1" w14:textId="5BA19887"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Препаратты бауыр зақымдануының орташа және ауыр дәрежесі бар пациенттерде қолданған жағдайда лапатинибті</w:t>
      </w:r>
      <w:r w:rsidR="00DD56FA">
        <w:rPr>
          <w:rFonts w:ascii="Times New Roman" w:hAnsi="Times New Roman"/>
          <w:sz w:val="24"/>
          <w:szCs w:val="24"/>
          <w:lang w:val="kk-KZ"/>
        </w:rPr>
        <w:t xml:space="preserve"> сақтықпен тағайындау ұсынылады</w:t>
      </w:r>
      <w:r w:rsidRPr="00C473D3">
        <w:rPr>
          <w:rFonts w:ascii="Times New Roman" w:hAnsi="Times New Roman"/>
          <w:sz w:val="24"/>
          <w:szCs w:val="24"/>
          <w:lang w:val="kk-KZ"/>
        </w:rPr>
        <w:t xml:space="preserve"> (4.2 және 5.2-бөлімдерді қараңыз). </w:t>
      </w:r>
    </w:p>
    <w:p w14:paraId="64664FFD" w14:textId="77777777" w:rsidR="008D20BD" w:rsidRPr="005D4D1C" w:rsidRDefault="000A0115" w:rsidP="008D20BD">
      <w:pPr>
        <w:spacing w:after="0" w:line="240" w:lineRule="auto"/>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Диарея </w:t>
      </w:r>
    </w:p>
    <w:p w14:paraId="44178716" w14:textId="6A488B1C" w:rsidR="00387214" w:rsidRPr="005D4D1C" w:rsidRDefault="000A0115" w:rsidP="0019156C">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Лапатинибті қолдану ауыр дәрежелі диареяны қоса, диареяның дамуына әкелуі мүмкін</w:t>
      </w:r>
      <w:r w:rsidR="006E370C">
        <w:rPr>
          <w:rFonts w:ascii="Times New Roman" w:hAnsi="Times New Roman"/>
          <w:sz w:val="24"/>
          <w:szCs w:val="24"/>
          <w:lang w:val="kk-KZ"/>
        </w:rPr>
        <w:t xml:space="preserve"> </w:t>
      </w:r>
      <w:r w:rsidR="006E370C" w:rsidRPr="006E370C">
        <w:rPr>
          <w:rFonts w:ascii="Times New Roman" w:hAnsi="Times New Roman"/>
          <w:sz w:val="24"/>
          <w:szCs w:val="24"/>
          <w:lang w:val="kk-KZ"/>
        </w:rPr>
        <w:t>(4.8 бөлімді қараңыз)</w:t>
      </w:r>
      <w:r w:rsidRPr="00C473D3">
        <w:rPr>
          <w:rFonts w:ascii="Times New Roman" w:hAnsi="Times New Roman"/>
          <w:sz w:val="24"/>
          <w:szCs w:val="24"/>
          <w:lang w:val="kk-KZ"/>
        </w:rPr>
        <w:t xml:space="preserve">. Диарея дегидратациямен, бүйрек жеткіліксіздігімен, нейтропениямен және/немесе электролиттік теңгерімсіздікпен үйлескен жағдайда өмірге қауіп төндіретін жағдайларға және өлімге әкелуі мүмкін. Диарея лапатинибпен емдеудің басында жиі туындайды; пациенттердің жартысына жуығы емдеу басталғаннан бастап алғашқы 6 күнде диареяның пайда болғанын байқады. Әдетте диарея 4-5 күн бойы жалғасады. Лапатиниб-индукцияланған диарея жиі жеңіл болады; Ұлттық Онкология институтының жағымсыз құбылыстарды жіктеуі бойынша 3 және 4-дәрежелі ауыр диарея тиісінше пациенттердің &lt;10 және &lt;1%-ында анықталады. Емдеу кезіндегі өзгерістерді және диарея қаупі жоғары пациенттерді анықтау үшін асқазан-ішек жолдарының бұзылыстарын және оның симптомдарын (қызба, спазмдар, жүрек айну, құсу, бас айналу, шөлдеу) ерте анықтау қажет. АІЖ тарапынан кез келген өзгерістер туындаған жағдайда пациенттер бұл туралы дереу хабарлауы тиіс. Ауыр диареяға күдік туындаған жағдайда нейтрофилдердің санын және пациенттің дене температурасын өлшеу керек. Симптомдардың алғашқы дамуы кезінде диареяға қарсы препараттарды тағайындау ұсынылады. Ауыр дәрежелі диарея кезінде электролиттер мен сұйықтықтарды (пероральді немесе вена ішіне) енгізу, фторхинолондар сияқты антибиотиктерді тағайындау (әсіресе қызба немесе 3-4 дәрежелі нейтропения бар 24 сағаттан астам диарея жағдайында), лапатинибті қабылдауды тоқтата тұру немесе тоқтату қажет болуы мүмкін (4.2 - бөлімді қараңыз — емдеуді тоқтата тұру және дозаны төмендету — диарея). </w:t>
      </w:r>
    </w:p>
    <w:p w14:paraId="55A624B1" w14:textId="77777777" w:rsidR="008D20BD" w:rsidRPr="005D4D1C" w:rsidRDefault="000A0115" w:rsidP="008D20BD">
      <w:pPr>
        <w:spacing w:after="0" w:line="240" w:lineRule="auto"/>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Терінің ауыр реакциялары </w:t>
      </w:r>
    </w:p>
    <w:p w14:paraId="61DA8200" w14:textId="77777777"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Лапатинибті қабылдауға жауап ретінде ауыр тері реакциялары туралы хабарламалар бар. Егер мультиморфты эритеманың немесе Стивенс-Джонсон синдромы немесе уытты эпидермалық некролиз (яғни, терінің үдемелі бөртпесі, көбінесе күлдіреуіктердің пайда болуымен және шырышты қабықтардың жаралануымен) сияқты өмірге қауіпті реакциялардың бар екендігіне күдіктенуге негіз болса, Ланибпен емдеуді тоқтатыңыз. </w:t>
      </w:r>
    </w:p>
    <w:p w14:paraId="16BA22D4" w14:textId="77777777" w:rsidR="008D20BD" w:rsidRPr="005D4D1C" w:rsidRDefault="000A0115" w:rsidP="008D20BD">
      <w:pPr>
        <w:spacing w:after="0" w:line="240" w:lineRule="auto"/>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CYP3A4 тежегіштерімен немесе индукторларымен бірге тағайындау </w:t>
      </w:r>
    </w:p>
    <w:p w14:paraId="7DD6D6E9" w14:textId="3B5803D6"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Лапатиниб экспозициясының төмендеу қаупіне байланысты CYP3A4 индукторларымен қатар емдеуден аулақ болу керек</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(4.</w:t>
      </w:r>
      <w:r w:rsidR="000F5505">
        <w:rPr>
          <w:rFonts w:ascii="Times New Roman" w:hAnsi="Times New Roman"/>
          <w:sz w:val="24"/>
          <w:szCs w:val="24"/>
          <w:lang w:val="kk-KZ"/>
        </w:rPr>
        <w:t>5</w:t>
      </w:r>
      <w:r w:rsidR="000F5505" w:rsidRPr="000F5505">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xml:space="preserve">. </w:t>
      </w:r>
    </w:p>
    <w:p w14:paraId="35FF95D1" w14:textId="60D8F43D"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Лапатиниб экспозициясының ұлғаю қаупіне байланысты CYP3A4 күшті тежегіштерімен қатар емдеуден аулақ болу керек</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(4.</w:t>
      </w:r>
      <w:r w:rsidR="000F5505">
        <w:rPr>
          <w:rFonts w:ascii="Times New Roman" w:hAnsi="Times New Roman"/>
          <w:sz w:val="24"/>
          <w:szCs w:val="24"/>
          <w:lang w:val="kk-KZ"/>
        </w:rPr>
        <w:t>5</w:t>
      </w:r>
      <w:r w:rsidR="000F5505" w:rsidRPr="000F5505">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xml:space="preserve">. </w:t>
      </w:r>
    </w:p>
    <w:p w14:paraId="29233F6E" w14:textId="0A091F46"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Ланибпен емдеу кезінде грейпфрут шырынын тұтынудан аулақ болу керек</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(4.</w:t>
      </w:r>
      <w:r w:rsidR="000F5505">
        <w:rPr>
          <w:rFonts w:ascii="Times New Roman" w:hAnsi="Times New Roman"/>
          <w:sz w:val="24"/>
          <w:szCs w:val="24"/>
          <w:lang w:val="kk-KZ"/>
        </w:rPr>
        <w:t>5</w:t>
      </w:r>
      <w:r w:rsidR="000F5505" w:rsidRPr="000F5505">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xml:space="preserve">. </w:t>
      </w:r>
    </w:p>
    <w:p w14:paraId="484523E5" w14:textId="0135824B"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Ланиб препаратын CYP3A4 және/немесе CYP2С8 субстраттары болып табылатын емдік әсері тар пероральді препараттармен бірге қолдану ұсынылмайды</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(4.</w:t>
      </w:r>
      <w:r w:rsidR="000F5505">
        <w:rPr>
          <w:rFonts w:ascii="Times New Roman" w:hAnsi="Times New Roman"/>
          <w:sz w:val="24"/>
          <w:szCs w:val="24"/>
          <w:lang w:val="kk-KZ"/>
        </w:rPr>
        <w:t>5</w:t>
      </w:r>
      <w:r w:rsidR="000F5505" w:rsidRPr="000F5505">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xml:space="preserve">. </w:t>
      </w:r>
    </w:p>
    <w:p w14:paraId="1F7EE63B" w14:textId="35B06B88" w:rsidR="008D20BD" w:rsidRPr="005D4D1C" w:rsidRDefault="000A0115" w:rsidP="008D20BD">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lastRenderedPageBreak/>
        <w:t>Асқазан сөлінің рН арттыратын препараттармен бірге қолдану ұсынылмайды, өйткені бұл лапатинибтің ерігіштігі мен сіңуінің төмендеуіне әсер етуі мүмкін</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(4.</w:t>
      </w:r>
      <w:r w:rsidR="000F5505">
        <w:rPr>
          <w:rFonts w:ascii="Times New Roman" w:hAnsi="Times New Roman"/>
          <w:sz w:val="24"/>
          <w:szCs w:val="24"/>
          <w:lang w:val="kk-KZ"/>
        </w:rPr>
        <w:t>5</w:t>
      </w:r>
      <w:r w:rsidR="000F5505" w:rsidRPr="000F5505">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xml:space="preserve">. </w:t>
      </w:r>
    </w:p>
    <w:p w14:paraId="52331F63" w14:textId="77777777" w:rsidR="00DF5CF6" w:rsidRPr="00A223FE" w:rsidRDefault="00DF5CF6" w:rsidP="00DF5CF6">
      <w:pPr>
        <w:spacing w:after="0" w:line="240" w:lineRule="auto"/>
        <w:ind w:left="-5" w:right="7"/>
        <w:jc w:val="both"/>
        <w:rPr>
          <w:rFonts w:ascii="Times New Roman" w:hAnsi="Times New Roman"/>
          <w:i/>
          <w:iCs/>
          <w:sz w:val="24"/>
          <w:lang w:val="kk"/>
        </w:rPr>
      </w:pPr>
      <w:bookmarkStart w:id="4" w:name="_Hlk98241527"/>
      <w:r w:rsidRPr="00C22DC5">
        <w:rPr>
          <w:rFonts w:ascii="Times New Roman" w:hAnsi="Times New Roman"/>
          <w:i/>
          <w:iCs/>
          <w:sz w:val="24"/>
          <w:lang w:val="kk"/>
        </w:rPr>
        <w:t>Натрий мөлшері</w:t>
      </w:r>
    </w:p>
    <w:p w14:paraId="0E47FC06" w14:textId="77777777" w:rsidR="00DF5CF6" w:rsidRPr="00A223FE" w:rsidRDefault="00DF5CF6" w:rsidP="00DF5CF6">
      <w:pPr>
        <w:spacing w:after="0" w:line="240" w:lineRule="auto"/>
        <w:ind w:left="-5" w:right="7"/>
        <w:jc w:val="both"/>
        <w:rPr>
          <w:rFonts w:ascii="Times New Roman" w:hAnsi="Times New Roman"/>
          <w:sz w:val="24"/>
          <w:lang w:val="kk"/>
        </w:rPr>
      </w:pPr>
      <w:r w:rsidRPr="00C22DC5">
        <w:rPr>
          <w:rFonts w:ascii="Times New Roman" w:hAnsi="Times New Roman"/>
          <w:sz w:val="24"/>
          <w:lang w:val="kk"/>
        </w:rPr>
        <w:t>Бұл дәрілік препараттың құрамында бір таблеткаға 1 ммоль аз натрий (23 мг) бар, яғни іс жүзінде «натрийсіз» болып табылады.</w:t>
      </w:r>
    </w:p>
    <w:bookmarkEnd w:id="4"/>
    <w:p w14:paraId="62531756" w14:textId="77777777" w:rsidR="000A15B0" w:rsidRPr="00DF5CF6" w:rsidRDefault="000A15B0" w:rsidP="0078568D">
      <w:pPr>
        <w:spacing w:after="0" w:line="240" w:lineRule="auto"/>
        <w:jc w:val="both"/>
        <w:rPr>
          <w:rFonts w:ascii="Times New Roman" w:eastAsia="Times New Roman" w:hAnsi="Times New Roman"/>
          <w:b/>
          <w:sz w:val="24"/>
          <w:szCs w:val="24"/>
          <w:lang w:val="kk" w:eastAsia="ru-RU"/>
        </w:rPr>
      </w:pPr>
    </w:p>
    <w:p w14:paraId="28B31709" w14:textId="77777777" w:rsidR="007D0E84" w:rsidRPr="005D4D1C" w:rsidRDefault="000A0115" w:rsidP="0078568D">
      <w:pPr>
        <w:spacing w:after="0" w:line="240" w:lineRule="auto"/>
        <w:jc w:val="both"/>
        <w:rPr>
          <w:rFonts w:ascii="Times New Roman" w:eastAsia="Times New Roman" w:hAnsi="Times New Roman"/>
          <w:b/>
          <w:sz w:val="24"/>
          <w:szCs w:val="24"/>
          <w:lang w:val="kk-KZ" w:eastAsia="ru-RU"/>
        </w:rPr>
      </w:pPr>
      <w:r w:rsidRPr="00C473D3">
        <w:rPr>
          <w:rFonts w:ascii="Times New Roman" w:eastAsia="Times New Roman" w:hAnsi="Times New Roman"/>
          <w:b/>
          <w:sz w:val="24"/>
          <w:szCs w:val="24"/>
          <w:lang w:val="kk-KZ" w:eastAsia="ru-RU"/>
        </w:rPr>
        <w:t>4.5 Басқа дәрілік препараттармен өзара әрекеттесуі және өзара әрекеттесудің басқа түрлері</w:t>
      </w:r>
    </w:p>
    <w:p w14:paraId="7987711C" w14:textId="77777777" w:rsidR="0051495F" w:rsidRPr="005D4D1C" w:rsidRDefault="000A0115" w:rsidP="0051495F">
      <w:pPr>
        <w:tabs>
          <w:tab w:val="left" w:pos="426"/>
        </w:tabs>
        <w:adjustRightInd w:val="0"/>
        <w:snapToGrid w:val="0"/>
        <w:spacing w:after="0" w:line="240" w:lineRule="auto"/>
        <w:jc w:val="both"/>
        <w:rPr>
          <w:rFonts w:ascii="Times New Roman" w:hAnsi="Times New Roman"/>
          <w:i/>
          <w:sz w:val="24"/>
          <w:szCs w:val="24"/>
          <w:lang w:val="kk-KZ"/>
        </w:rPr>
      </w:pPr>
      <w:r w:rsidRPr="00C473D3">
        <w:rPr>
          <w:rFonts w:ascii="Times New Roman" w:hAnsi="Times New Roman"/>
          <w:i/>
          <w:sz w:val="24"/>
          <w:szCs w:val="24"/>
          <w:lang w:val="kk-KZ"/>
        </w:rPr>
        <w:t xml:space="preserve">Басқа дәрілік заттардың лапатинибке әсері </w:t>
      </w:r>
    </w:p>
    <w:p w14:paraId="5C0B2BE4" w14:textId="35FD7720"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Ланиб негізінен CYP3A арқылы метаболизденеді</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w:t>
      </w:r>
      <w:r w:rsidR="000F5505">
        <w:rPr>
          <w:rFonts w:ascii="Times New Roman" w:hAnsi="Times New Roman"/>
          <w:sz w:val="24"/>
          <w:szCs w:val="24"/>
          <w:lang w:val="kk-KZ"/>
        </w:rPr>
        <w:t>5.2</w:t>
      </w:r>
      <w:r w:rsidR="000F5505" w:rsidRPr="000F5505">
        <w:rPr>
          <w:rFonts w:ascii="Times New Roman" w:hAnsi="Times New Roman"/>
          <w:sz w:val="24"/>
          <w:szCs w:val="24"/>
          <w:lang w:val="kk-KZ"/>
        </w:rPr>
        <w:t xml:space="preserve"> бөлімді қараңыз)</w:t>
      </w:r>
      <w:r w:rsidRPr="00C473D3">
        <w:rPr>
          <w:rFonts w:ascii="Times New Roman" w:hAnsi="Times New Roman"/>
          <w:sz w:val="24"/>
          <w:szCs w:val="24"/>
          <w:lang w:val="kk-KZ"/>
        </w:rPr>
        <w:t xml:space="preserve">. </w:t>
      </w:r>
    </w:p>
    <w:p w14:paraId="339FB93F"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Кетоконазолды, CYP3A4 күшті тежегішін 7 күн бойы күніне екі рет 200 мг дозада қабылдайтын сау ерікті пациенттерде лапатинибтің жүйелі әсерінің 3,6 есе ұлғаюы (тәулігіне 100 мг) және жартылай шығарылу кезеңінің 1,7 есе ұлғаюы байқалды. Ланиб препаратын және CYP3A күшті тежегіштерін (мысалы, ритонавир, саквинавир, телитромицин, кетоконазол, итраконазол, вориконазол, позаконазол, нефазодон) бір мезгілде қолданудан аулақ болу керек. Ланиб препаратын және орташа дәрежедегі CYP3A тежегіштерін бір мезгілде қолданған кезде пациенттің клиникалық жағдайына және ықтимал жағымсыз реакцияларға сақ болу және мұқият бақылау қажет. </w:t>
      </w:r>
    </w:p>
    <w:p w14:paraId="1192838D"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Карбамазепин, CYP3A4 индукторын күніне екі рет 3 күн бойы 100 мг және күніне екі рет 17 күн бойы 200 мг дозада қабылдайтын сау ерікті пациенттерде лапатинибтің жүйелі әсері шамамен 72%-ға төмендеді. Ланиб препаратын және CYP3A4 индукторларын (мысалы, рифампицин, рифабутин, карбамазепин, фенитоин, шілтер жапырақты шайқурай) бір мезгілде қолданудан аулақ болу керек. </w:t>
      </w:r>
    </w:p>
    <w:p w14:paraId="3CCD6DA6"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 Pgp және BCRP транспорттық ақуыздарының субстраты. Осы протеиндердің тежегіштері (кетоконазол, итраконазол, хинидин, верапамил, циклоспорин, эритромицин) және индукторлары (рифампицин, шілтер жапырақты шайқурай) лапатинибтің экспозициясын және/немесе таралуын өзгерте алады (5.2-бөлімді қараңыз). </w:t>
      </w:r>
    </w:p>
    <w:p w14:paraId="2FF44057"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Лапатинибтің ерігіштігі рН-тәуелді болып табылады. Асқазан сөлінің рН арттыратын препараттармен бірге қолдану ұсынылмайды, өйткені бұл лапатинибтің ерігіштігі мен сіңуінің төмендеуіне әсер етуі мүмкін. Протон помпа тежегіштерінің тобынан препараттарды алдын ала қолдану (эзомепразол) лапатиниб экспозициясын орта есеппен 27%-ға (6%-дан 49%-ға дейін) төмендетеді. Бұл әсер шамамен 40 жастан 60 жасқа дейін жас ұлғайған сайын төмендейді. </w:t>
      </w:r>
    </w:p>
    <w:p w14:paraId="48550493" w14:textId="77777777" w:rsidR="0051495F" w:rsidRPr="005D4D1C" w:rsidRDefault="000A0115" w:rsidP="0051495F">
      <w:pPr>
        <w:spacing w:after="0" w:line="240" w:lineRule="auto"/>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Лапатинибтің басқа дәрілік заттарға әсері </w:t>
      </w:r>
    </w:p>
    <w:p w14:paraId="009D535F" w14:textId="5EC3785C"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 CYP3A4 </w:t>
      </w:r>
      <w:r w:rsidRPr="00C473D3">
        <w:rPr>
          <w:rFonts w:ascii="Times New Roman" w:hAnsi="Times New Roman"/>
          <w:i/>
          <w:iCs/>
          <w:sz w:val="24"/>
          <w:szCs w:val="24"/>
          <w:lang w:val="kk-KZ"/>
        </w:rPr>
        <w:t>in vitro</w:t>
      </w:r>
      <w:r w:rsidRPr="00C473D3">
        <w:rPr>
          <w:rFonts w:ascii="Times New Roman" w:hAnsi="Times New Roman"/>
          <w:sz w:val="24"/>
          <w:szCs w:val="24"/>
          <w:lang w:val="kk-KZ"/>
        </w:rPr>
        <w:t xml:space="preserve"> клиникалық маңызды концентрацияларда тежейді. Ланибті пероральді қабылданатын мидазоламмен бір мезгілде қолдану мидазоламның АUC (шамамен 45%-ға )ұлғаюына әкеледі. Мидазоламды вена ішіне енгізген кезде АUC клиникалық мәнді ұлғаюы байқалмады. Ланиб препаратын CYP3A4 субстраттары болып табылатын (мысалы, </w:t>
      </w:r>
      <w:r w:rsidR="00DD56FA" w:rsidRPr="00DD56FA">
        <w:rPr>
          <w:rFonts w:ascii="Times New Roman" w:hAnsi="Times New Roman"/>
          <w:sz w:val="24"/>
          <w:szCs w:val="24"/>
          <w:lang w:val="kk-KZ"/>
        </w:rPr>
        <w:t xml:space="preserve">цизаприд, пимозид </w:t>
      </w:r>
      <w:r w:rsidR="00DD56FA" w:rsidRPr="00C473D3">
        <w:rPr>
          <w:rFonts w:ascii="Times New Roman" w:hAnsi="Times New Roman"/>
          <w:sz w:val="24"/>
          <w:szCs w:val="24"/>
          <w:lang w:val="kk-KZ"/>
        </w:rPr>
        <w:t>және</w:t>
      </w:r>
      <w:r w:rsidR="00DD56FA" w:rsidRPr="00DD56FA">
        <w:rPr>
          <w:rFonts w:ascii="Times New Roman" w:hAnsi="Times New Roman"/>
          <w:sz w:val="24"/>
          <w:szCs w:val="24"/>
          <w:lang w:val="kk-KZ"/>
        </w:rPr>
        <w:t xml:space="preserve">  хинидин</w:t>
      </w:r>
      <w:r w:rsidRPr="00C473D3">
        <w:rPr>
          <w:rFonts w:ascii="Times New Roman" w:hAnsi="Times New Roman"/>
          <w:sz w:val="24"/>
          <w:szCs w:val="24"/>
          <w:lang w:val="kk-KZ"/>
        </w:rPr>
        <w:t xml:space="preserve">) тар емдік әсері бар пероральді препараттармен бірге қолдану ұсынылмайды. </w:t>
      </w:r>
    </w:p>
    <w:p w14:paraId="2E94206E"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 CYP2C8 </w:t>
      </w:r>
      <w:r w:rsidRPr="00C473D3">
        <w:rPr>
          <w:rFonts w:ascii="Times New Roman" w:hAnsi="Times New Roman"/>
          <w:i/>
          <w:iCs/>
          <w:sz w:val="24"/>
          <w:szCs w:val="24"/>
          <w:lang w:val="kk-KZ"/>
        </w:rPr>
        <w:t>in vitro</w:t>
      </w:r>
      <w:r w:rsidRPr="00C473D3">
        <w:rPr>
          <w:rFonts w:ascii="Times New Roman" w:hAnsi="Times New Roman"/>
          <w:sz w:val="24"/>
          <w:szCs w:val="24"/>
          <w:lang w:val="kk-KZ"/>
        </w:rPr>
        <w:t xml:space="preserve"> клиникалық маңызды концентрацияларда тежейді. Ланиб препаратын CYP2C8 субстраттары (мысалы, репаглинидпен) болып табылатын тар </w:t>
      </w:r>
      <w:r w:rsidR="00E96755">
        <w:rPr>
          <w:rFonts w:ascii="Times New Roman" w:hAnsi="Times New Roman"/>
          <w:sz w:val="24"/>
          <w:szCs w:val="24"/>
          <w:lang w:val="kk-KZ"/>
        </w:rPr>
        <w:t>емдік</w:t>
      </w:r>
      <w:r w:rsidRPr="00C473D3">
        <w:rPr>
          <w:rFonts w:ascii="Times New Roman" w:hAnsi="Times New Roman"/>
          <w:sz w:val="24"/>
          <w:szCs w:val="24"/>
          <w:lang w:val="kk-KZ"/>
        </w:rPr>
        <w:t xml:space="preserve"> препараттармен бірге қолданудан аулақ болу керек (4.4 және 5.2-бөлімдерді қараңыз). </w:t>
      </w:r>
    </w:p>
    <w:p w14:paraId="03ACE94B"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 пен вена ішіне енгізілетін паклитакселді бірге қолдану лапатинибтің CYP2C8 және/немесе Pgp тежеуіне байланысты паклитакселдің экспозициясын 23%-ға арттырады. Осы препараттарды бірге қолданғанда клиникалық зерттеулерде диарея мен нейтропенияның жиілігі мен ауырлығының артуы байқалды. Лапатиниб пен паклитакселді бірге қолданған кезде сақ болу керек. </w:t>
      </w:r>
    </w:p>
    <w:p w14:paraId="1B7E8C3F"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Лапатиниб пен вена ішіне қолданылатын доцетакселді бірге тағайындау екі препараттың да белсенді субстанцияларының AUC және C</w:t>
      </w:r>
      <w:r w:rsidRPr="00C473D3">
        <w:rPr>
          <w:rFonts w:ascii="Times New Roman" w:hAnsi="Times New Roman"/>
          <w:sz w:val="24"/>
          <w:szCs w:val="24"/>
          <w:vertAlign w:val="subscript"/>
          <w:lang w:val="kk-KZ"/>
        </w:rPr>
        <w:t>max</w:t>
      </w:r>
      <w:r w:rsidRPr="00C473D3">
        <w:rPr>
          <w:rFonts w:ascii="Times New Roman" w:hAnsi="Times New Roman"/>
          <w:sz w:val="24"/>
          <w:szCs w:val="24"/>
          <w:lang w:val="kk-KZ"/>
        </w:rPr>
        <w:t xml:space="preserve"> айтарлықтай әсер етпеді. Дегенмен, доцетаксел-индукцияланған нейтропенияның даму жағдайларының артуы байқалды. </w:t>
      </w:r>
    </w:p>
    <w:p w14:paraId="60D70C3D"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lastRenderedPageBreak/>
        <w:t xml:space="preserve">Лапатинибті иринотеканмен бірге қолданғанда (FOLFIRI  емдеу сызбасының бөлігі ретінде - фолин қышқылымен, фторурацилмен және иринотеканмен біріктірілген химиотерапия) иринотекан SN-38 белсенді метаболитінің AUC шамамен 40%-ға ұлғаюы байқалды. Бұл өзара әрекеттесудің нақты механизмі белгісіз, бірақ бұл лапатинибтің транспорттық ақуыздардың бірін тежеуіне байланысты болады деп болжанады. Ланибті иринотеканмен бірге қолданған кезде жанама реакцияларға мұқият мониторинг жүргізу және иринотеканның дозасын төмендету мүмкіндігін қарастыру қажет. </w:t>
      </w:r>
    </w:p>
    <w:p w14:paraId="34FD5CF6"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 </w:t>
      </w:r>
      <w:r w:rsidRPr="00C473D3">
        <w:rPr>
          <w:rFonts w:ascii="Times New Roman" w:hAnsi="Times New Roman"/>
          <w:i/>
          <w:iCs/>
          <w:sz w:val="24"/>
          <w:szCs w:val="24"/>
          <w:lang w:val="kk-KZ"/>
        </w:rPr>
        <w:t>in vitro</w:t>
      </w:r>
      <w:r w:rsidRPr="00C473D3">
        <w:rPr>
          <w:rFonts w:ascii="Times New Roman" w:hAnsi="Times New Roman"/>
          <w:sz w:val="24"/>
          <w:szCs w:val="24"/>
          <w:lang w:val="kk-KZ"/>
        </w:rPr>
        <w:t xml:space="preserve"> Pgp транспорттық ақуызын клиникалық маңызды концентрацияларда тежейді. Лапатинибті пероральді қабылданатын дигоксинмен бір мезгілде қолдану дигоксиннің АUC шамамен 80%-ға ұлғаюына әкеледі. Лапатинибті Pgp субстраттары болып табылатын тар терапиялық әсері бар препараттармен бірге сақтықпен тағайындау, сондай-ақ Pgp субстратының дозасын төмендету мүмкіндігін қарастыру керек. </w:t>
      </w:r>
    </w:p>
    <w:p w14:paraId="76E40E99" w14:textId="4E6E9D0F"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 BCRP және OATP1B1 транспорттық ақуыздарын </w:t>
      </w:r>
      <w:r w:rsidRPr="00C473D3">
        <w:rPr>
          <w:rFonts w:ascii="Times New Roman" w:hAnsi="Times New Roman"/>
          <w:i/>
          <w:iCs/>
          <w:sz w:val="24"/>
          <w:szCs w:val="24"/>
          <w:lang w:val="kk-KZ"/>
        </w:rPr>
        <w:t>in vitro</w:t>
      </w:r>
      <w:r w:rsidRPr="00C473D3">
        <w:rPr>
          <w:rFonts w:ascii="Times New Roman" w:hAnsi="Times New Roman"/>
          <w:sz w:val="24"/>
          <w:szCs w:val="24"/>
          <w:lang w:val="kk-KZ"/>
        </w:rPr>
        <w:t xml:space="preserve"> тежейді. Бұл нәтижелердің клиникалық мәні анықталған жоқ. Лапатинибтің BCRP (мысалы, топотекан) және ОАТР1В1 (мысалы, розувастатин) субстраттарының фармакокинетикасына әсері жоққа шығарылмайды</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 xml:space="preserve">(5.2 </w:t>
      </w:r>
      <w:r w:rsidR="00DD56FA">
        <w:rPr>
          <w:rFonts w:ascii="Times New Roman" w:hAnsi="Times New Roman"/>
          <w:sz w:val="24"/>
          <w:szCs w:val="24"/>
          <w:lang w:val="kk-KZ"/>
        </w:rPr>
        <w:t>бөлімін</w:t>
      </w:r>
      <w:r w:rsidR="000F5505" w:rsidRPr="000F5505">
        <w:rPr>
          <w:rFonts w:ascii="Times New Roman" w:hAnsi="Times New Roman"/>
          <w:sz w:val="24"/>
          <w:szCs w:val="24"/>
          <w:lang w:val="kk-KZ"/>
        </w:rPr>
        <w:t xml:space="preserve"> қараңыз).</w:t>
      </w:r>
    </w:p>
    <w:p w14:paraId="2610FD7E" w14:textId="77777777" w:rsidR="0051495F" w:rsidRPr="005D4D1C" w:rsidRDefault="000A0115" w:rsidP="0051495F">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Ланибті капецитабинмен, летрозолмен немесе трастузумабпен бірге қолдану осы препараттардың (немесе капецитабин метаболиттерінің) немесе лапатинибтің фармакокинетикалық параметрлеріне әсер етпейді. </w:t>
      </w:r>
    </w:p>
    <w:p w14:paraId="74D992A0" w14:textId="77777777" w:rsidR="0051495F" w:rsidRPr="005D4D1C" w:rsidRDefault="000A0115" w:rsidP="0051495F">
      <w:pPr>
        <w:spacing w:after="0" w:line="240" w:lineRule="auto"/>
        <w:ind w:left="-5" w:right="7"/>
        <w:jc w:val="both"/>
        <w:rPr>
          <w:rFonts w:ascii="Times New Roman" w:hAnsi="Times New Roman"/>
          <w:i/>
          <w:sz w:val="24"/>
          <w:szCs w:val="24"/>
          <w:lang w:val="kk-KZ"/>
        </w:rPr>
      </w:pPr>
      <w:r w:rsidRPr="00222CD0">
        <w:rPr>
          <w:rFonts w:ascii="Times New Roman" w:hAnsi="Times New Roman"/>
          <w:i/>
          <w:sz w:val="24"/>
          <w:szCs w:val="24"/>
          <w:lang w:val="kk-KZ"/>
        </w:rPr>
        <w:t xml:space="preserve">Тамақпен және сусындармен өзара әрекеттесуі </w:t>
      </w:r>
    </w:p>
    <w:p w14:paraId="59DB0BBE" w14:textId="07DC014C" w:rsidR="0051495F" w:rsidRPr="005D4D1C" w:rsidRDefault="000A0115" w:rsidP="0051495F">
      <w:pPr>
        <w:spacing w:after="0" w:line="240" w:lineRule="auto"/>
        <w:ind w:left="-5" w:right="180"/>
        <w:jc w:val="both"/>
        <w:rPr>
          <w:rFonts w:ascii="Times New Roman" w:hAnsi="Times New Roman"/>
          <w:sz w:val="24"/>
          <w:szCs w:val="24"/>
          <w:lang w:val="kk-KZ"/>
        </w:rPr>
      </w:pPr>
      <w:r w:rsidRPr="00C473D3">
        <w:rPr>
          <w:rFonts w:ascii="Times New Roman" w:hAnsi="Times New Roman"/>
          <w:sz w:val="24"/>
          <w:szCs w:val="24"/>
          <w:lang w:val="kk-KZ"/>
        </w:rPr>
        <w:t>Лапатинибтің биожетімділігі 4 есе артуы мүмкін және тағамның майлармен қанығуына байланысты. Лапатинибті алғашқы тамақтанудан 1 сағат бұрын қабылдаумен салыстырғанда лапатинибті тамақтан соң 1 сағаттан кейін қабылдағанда тамақтың түріне байланысты биожетімділігі шамамен 2-3 есе артады</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(4.2 және 5.2 бөлімдерін қараңыз)</w:t>
      </w:r>
      <w:r w:rsidRPr="00C473D3">
        <w:rPr>
          <w:rFonts w:ascii="Times New Roman" w:hAnsi="Times New Roman"/>
          <w:sz w:val="24"/>
          <w:szCs w:val="24"/>
          <w:lang w:val="kk-KZ"/>
        </w:rPr>
        <w:t xml:space="preserve">. </w:t>
      </w:r>
    </w:p>
    <w:p w14:paraId="435E6F89" w14:textId="77777777" w:rsidR="0051495F" w:rsidRPr="005D4D1C" w:rsidRDefault="000A0115" w:rsidP="0051495F">
      <w:pPr>
        <w:adjustRightInd w:val="0"/>
        <w:snapToGrid w:val="0"/>
        <w:spacing w:after="0" w:line="240" w:lineRule="auto"/>
        <w:jc w:val="both"/>
        <w:rPr>
          <w:rFonts w:ascii="Times New Roman" w:hAnsi="Times New Roman"/>
          <w:sz w:val="24"/>
          <w:szCs w:val="24"/>
          <w:lang w:val="kk-KZ"/>
        </w:rPr>
      </w:pPr>
      <w:r w:rsidRPr="00C473D3">
        <w:rPr>
          <w:rFonts w:ascii="Times New Roman" w:hAnsi="Times New Roman"/>
          <w:sz w:val="24"/>
          <w:szCs w:val="24"/>
          <w:lang w:val="kk-KZ"/>
        </w:rPr>
        <w:t>Грейпфрут шырыны ішек қабырғаларында CYP3A4 тежеуі мүмкін және лапатинибтің биожетімділігінің артуына алып келеді, сондықтан Ланибпен бірге қолданбау керек.</w:t>
      </w:r>
    </w:p>
    <w:p w14:paraId="18E9A9BF" w14:textId="77777777" w:rsidR="00CE7F7F" w:rsidRPr="005D4D1C" w:rsidRDefault="00CE7F7F" w:rsidP="0078568D">
      <w:pPr>
        <w:spacing w:after="0" w:line="240" w:lineRule="auto"/>
        <w:jc w:val="both"/>
        <w:rPr>
          <w:rFonts w:ascii="Times New Roman" w:eastAsia="Times New Roman" w:hAnsi="Times New Roman"/>
          <w:b/>
          <w:sz w:val="24"/>
          <w:szCs w:val="24"/>
          <w:lang w:val="kk-KZ" w:eastAsia="ru-RU"/>
        </w:rPr>
      </w:pPr>
    </w:p>
    <w:p w14:paraId="5721C918" w14:textId="77777777" w:rsidR="00B05BD1" w:rsidRPr="005D4D1C" w:rsidRDefault="000A0115" w:rsidP="0078568D">
      <w:pPr>
        <w:spacing w:after="0" w:line="240" w:lineRule="auto"/>
        <w:jc w:val="both"/>
        <w:rPr>
          <w:rFonts w:ascii="Times New Roman" w:eastAsia="Times New Roman" w:hAnsi="Times New Roman"/>
          <w:b/>
          <w:sz w:val="24"/>
          <w:szCs w:val="24"/>
          <w:lang w:val="kk-KZ" w:eastAsia="ru-RU"/>
        </w:rPr>
      </w:pPr>
      <w:r w:rsidRPr="00C473D3">
        <w:rPr>
          <w:rFonts w:ascii="Times New Roman" w:eastAsia="Times New Roman" w:hAnsi="Times New Roman"/>
          <w:b/>
          <w:sz w:val="24"/>
          <w:szCs w:val="24"/>
          <w:lang w:val="kk-KZ" w:eastAsia="ru-RU"/>
        </w:rPr>
        <w:t>4.6 Фертильділік, жүктілік және лактация</w:t>
      </w:r>
    </w:p>
    <w:p w14:paraId="462C8D36" w14:textId="77777777" w:rsidR="000C5417" w:rsidRPr="005D4D1C" w:rsidRDefault="005F2308" w:rsidP="000C5417">
      <w:pPr>
        <w:tabs>
          <w:tab w:val="left" w:pos="426"/>
        </w:tabs>
        <w:adjustRightInd w:val="0"/>
        <w:snapToGrid w:val="0"/>
        <w:spacing w:after="0" w:line="240" w:lineRule="auto"/>
        <w:jc w:val="both"/>
        <w:rPr>
          <w:rFonts w:ascii="Times New Roman" w:hAnsi="Times New Roman"/>
          <w:i/>
          <w:sz w:val="24"/>
          <w:szCs w:val="24"/>
          <w:lang w:val="kk-KZ"/>
        </w:rPr>
      </w:pPr>
      <w:r>
        <w:rPr>
          <w:rFonts w:ascii="Times New Roman" w:hAnsi="Times New Roman"/>
          <w:i/>
          <w:sz w:val="24"/>
          <w:szCs w:val="24"/>
          <w:lang w:val="kk-KZ"/>
        </w:rPr>
        <w:t>Бала көтеретін жастағы</w:t>
      </w:r>
      <w:r w:rsidR="000A0115" w:rsidRPr="00C473D3">
        <w:rPr>
          <w:rFonts w:ascii="Times New Roman" w:hAnsi="Times New Roman"/>
          <w:i/>
          <w:sz w:val="24"/>
          <w:szCs w:val="24"/>
          <w:lang w:val="kk-KZ"/>
        </w:rPr>
        <w:t xml:space="preserve"> әйелдер </w:t>
      </w:r>
    </w:p>
    <w:p w14:paraId="3632353F" w14:textId="77777777" w:rsidR="000C5417" w:rsidRPr="005D4D1C" w:rsidRDefault="000A0115" w:rsidP="000C541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Бала көтеретін </w:t>
      </w:r>
      <w:r w:rsidR="005F2308">
        <w:rPr>
          <w:rFonts w:ascii="Times New Roman" w:hAnsi="Times New Roman"/>
          <w:sz w:val="24"/>
          <w:szCs w:val="24"/>
          <w:lang w:val="kk-KZ"/>
        </w:rPr>
        <w:t>жастағы</w:t>
      </w:r>
      <w:r w:rsidRPr="00C473D3">
        <w:rPr>
          <w:rFonts w:ascii="Times New Roman" w:hAnsi="Times New Roman"/>
          <w:sz w:val="24"/>
          <w:szCs w:val="24"/>
          <w:lang w:val="kk-KZ"/>
        </w:rPr>
        <w:t xml:space="preserve"> әйелдерге лапатинибпен емдеу кезінде және соңғы дозаны қабылдағаннан кейін кемінде 5 күн ішінде контрацепцияның сенімді әдістерін пайдалану және жүктілікті болдырмау ұсынылады. </w:t>
      </w:r>
    </w:p>
    <w:p w14:paraId="3F31898E" w14:textId="77777777" w:rsidR="000C5417" w:rsidRPr="005D4D1C" w:rsidRDefault="000A0115" w:rsidP="000C5417">
      <w:pPr>
        <w:spacing w:after="0" w:line="240" w:lineRule="auto"/>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Жүктілік </w:t>
      </w:r>
    </w:p>
    <w:p w14:paraId="6A76D3FE" w14:textId="1B3C2282" w:rsidR="000C5417" w:rsidRPr="005D4D1C" w:rsidRDefault="000A0115" w:rsidP="000C541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Жүкті әйелдерде лапатинибті қолдану туралы тиісті деректер жоқ. Жануарларға жүргізілген зерттеулер репродуктивті функцияға уытты әсердің болуын көрсетті</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(5.3 бөлімін қараңыз)</w:t>
      </w:r>
      <w:r w:rsidRPr="00C473D3">
        <w:rPr>
          <w:rFonts w:ascii="Times New Roman" w:hAnsi="Times New Roman"/>
          <w:sz w:val="24"/>
          <w:szCs w:val="24"/>
          <w:lang w:val="kk-KZ"/>
        </w:rPr>
        <w:t xml:space="preserve">. Адам үшін ықтимал қауіп белгісіз. </w:t>
      </w:r>
    </w:p>
    <w:p w14:paraId="6BAF9515" w14:textId="77777777" w:rsidR="000C5417" w:rsidRPr="005D4D1C" w:rsidRDefault="000A0115" w:rsidP="000C541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Егер оған нақты қажеттілік болмаса, жүктілік кезінде Ланибті қолдануға болмайды. </w:t>
      </w:r>
    </w:p>
    <w:p w14:paraId="49F7305A" w14:textId="77777777" w:rsidR="000C5417" w:rsidRPr="005D4D1C" w:rsidRDefault="000A0115" w:rsidP="000C5417">
      <w:pPr>
        <w:spacing w:after="0" w:line="240" w:lineRule="auto"/>
        <w:ind w:left="-5" w:right="7"/>
        <w:jc w:val="both"/>
        <w:rPr>
          <w:rFonts w:ascii="Times New Roman" w:hAnsi="Times New Roman"/>
          <w:i/>
          <w:sz w:val="24"/>
          <w:szCs w:val="24"/>
          <w:lang w:val="kk-KZ"/>
        </w:rPr>
      </w:pPr>
      <w:r>
        <w:rPr>
          <w:rFonts w:ascii="Times New Roman" w:hAnsi="Times New Roman"/>
          <w:i/>
          <w:sz w:val="24"/>
          <w:szCs w:val="24"/>
          <w:lang w:val="kk-KZ"/>
        </w:rPr>
        <w:t xml:space="preserve">Бала емізу </w:t>
      </w:r>
    </w:p>
    <w:p w14:paraId="2B06D1ED" w14:textId="77777777" w:rsidR="000C5417" w:rsidRPr="005D4D1C" w:rsidRDefault="000A0115" w:rsidP="000C541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Лактация кезінде лапатинибті қауіпсіз пайдалану анықталмаған. Лапатинибтің ана сүтіне шығарылуына қатысты деректер жоқ. Егеуқұйрықтардың емшек сүті арқылы лапатиниб алған балаларының өсуінің баяулауы байқалды. Әйелдер Ланибпен емдеу кезінде және соңғы дозаны қабылдағаннан кейін кемінде 5 күн бойы емшек емізуді тоқтатуы тиіс. </w:t>
      </w:r>
    </w:p>
    <w:p w14:paraId="3FB033C9" w14:textId="77777777" w:rsidR="000C5417" w:rsidRPr="005D4D1C" w:rsidRDefault="000A0115" w:rsidP="000C5417">
      <w:pPr>
        <w:spacing w:after="0" w:line="240" w:lineRule="auto"/>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Фертильділік </w:t>
      </w:r>
    </w:p>
    <w:p w14:paraId="65BF72D2" w14:textId="77777777" w:rsidR="000C5417" w:rsidRPr="005D4D1C" w:rsidRDefault="000A0115" w:rsidP="000C5417">
      <w:pPr>
        <w:spacing w:after="0" w:line="240" w:lineRule="auto"/>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Бала көтеретін </w:t>
      </w:r>
      <w:r w:rsidR="005F2308">
        <w:rPr>
          <w:rFonts w:ascii="Times New Roman" w:hAnsi="Times New Roman"/>
          <w:sz w:val="24"/>
          <w:szCs w:val="24"/>
          <w:lang w:val="kk-KZ"/>
        </w:rPr>
        <w:t>жастағы</w:t>
      </w:r>
      <w:r w:rsidRPr="00C473D3">
        <w:rPr>
          <w:rFonts w:ascii="Times New Roman" w:hAnsi="Times New Roman"/>
          <w:sz w:val="24"/>
          <w:szCs w:val="24"/>
          <w:lang w:val="kk-KZ"/>
        </w:rPr>
        <w:t xml:space="preserve"> әйелдерде Ланибті қолдану туралы тиісті мәліметтер жоқ. </w:t>
      </w:r>
    </w:p>
    <w:p w14:paraId="7CA4C318" w14:textId="77777777" w:rsidR="0078568D" w:rsidRPr="005D4D1C" w:rsidRDefault="0078568D" w:rsidP="0078568D">
      <w:pPr>
        <w:spacing w:after="0" w:line="240" w:lineRule="auto"/>
        <w:jc w:val="both"/>
        <w:rPr>
          <w:rFonts w:ascii="Times New Roman" w:eastAsia="Times New Roman" w:hAnsi="Times New Roman"/>
          <w:b/>
          <w:sz w:val="24"/>
          <w:szCs w:val="24"/>
          <w:lang w:val="kk-KZ" w:eastAsia="ru-RU"/>
        </w:rPr>
      </w:pPr>
    </w:p>
    <w:p w14:paraId="57DD63A2" w14:textId="77777777" w:rsidR="00CE7F7F" w:rsidRPr="005D4D1C" w:rsidRDefault="000A0115" w:rsidP="00CE7F7F">
      <w:pPr>
        <w:spacing w:after="0" w:line="240" w:lineRule="auto"/>
        <w:jc w:val="both"/>
        <w:rPr>
          <w:b/>
          <w:i/>
          <w:sz w:val="24"/>
          <w:szCs w:val="24"/>
          <w:lang w:val="kk-KZ"/>
        </w:rPr>
      </w:pPr>
      <w:r w:rsidRPr="00C473D3">
        <w:rPr>
          <w:rFonts w:ascii="Times New Roman" w:eastAsia="Times New Roman" w:hAnsi="Times New Roman"/>
          <w:b/>
          <w:sz w:val="24"/>
          <w:szCs w:val="24"/>
          <w:lang w:val="kk-KZ" w:eastAsia="ru-RU"/>
        </w:rPr>
        <w:t xml:space="preserve">4.7 Көлік құралдарын және қауіптілігі зор механизмдерді басқару қабілетіне әсері  </w:t>
      </w:r>
      <w:bookmarkStart w:id="5" w:name="2175220282"/>
    </w:p>
    <w:p w14:paraId="634417B0" w14:textId="77777777" w:rsidR="002E04B7" w:rsidRPr="005D4D1C" w:rsidRDefault="000A0115" w:rsidP="0078568D">
      <w:pPr>
        <w:spacing w:after="0" w:line="240" w:lineRule="auto"/>
        <w:jc w:val="both"/>
        <w:rPr>
          <w:rFonts w:ascii="Times New Roman" w:eastAsia="Times New Roman" w:hAnsi="Times New Roman"/>
          <w:sz w:val="24"/>
          <w:szCs w:val="24"/>
          <w:lang w:val="kk-KZ" w:eastAsia="ru-RU"/>
        </w:rPr>
      </w:pPr>
      <w:r w:rsidRPr="00C473D3">
        <w:rPr>
          <w:rFonts w:ascii="Times New Roman" w:eastAsia="Times New Roman" w:hAnsi="Times New Roman"/>
          <w:sz w:val="24"/>
          <w:szCs w:val="24"/>
          <w:lang w:val="kk-KZ" w:eastAsia="ru-RU"/>
        </w:rPr>
        <w:t xml:space="preserve">Ланиб көлік құралын және қауіптілігі зор механизмдерді басқару қабілетіне ешқандай әсер етпейді. Лапатинибтің фармакологиялық қасиеттерін ескере отырып, мұндай қызмет түріне әсер етуі күтілмейді. Пациенттің логикалық пайымдауды, қозғалыс немесе танымдық дағдыларды қолдануды қажет ететін тапсырмаларды орындау қабілетін </w:t>
      </w:r>
      <w:r w:rsidRPr="00C473D3">
        <w:rPr>
          <w:rFonts w:ascii="Times New Roman" w:eastAsia="Times New Roman" w:hAnsi="Times New Roman"/>
          <w:sz w:val="24"/>
          <w:szCs w:val="24"/>
          <w:lang w:val="kk-KZ" w:eastAsia="ru-RU"/>
        </w:rPr>
        <w:lastRenderedPageBreak/>
        <w:t>қарастырған кезде пациенттің клиникалық жағдайын және лапатинибтің жанама әсерлерінің бейінін ескеру қажет.</w:t>
      </w:r>
    </w:p>
    <w:p w14:paraId="464DB2F9" w14:textId="77777777" w:rsidR="002E04B7" w:rsidRPr="005D4D1C" w:rsidRDefault="002E04B7" w:rsidP="0078568D">
      <w:pPr>
        <w:spacing w:after="0" w:line="240" w:lineRule="auto"/>
        <w:jc w:val="both"/>
        <w:rPr>
          <w:rFonts w:ascii="Times New Roman" w:eastAsia="Times New Roman" w:hAnsi="Times New Roman"/>
          <w:b/>
          <w:sz w:val="24"/>
          <w:szCs w:val="24"/>
          <w:lang w:val="kk-KZ" w:eastAsia="ru-RU"/>
        </w:rPr>
      </w:pPr>
    </w:p>
    <w:p w14:paraId="2DD7D3D9" w14:textId="77777777" w:rsidR="009D67EC" w:rsidRPr="005D4D1C" w:rsidRDefault="000A0115" w:rsidP="0078568D">
      <w:pPr>
        <w:spacing w:after="0" w:line="240" w:lineRule="auto"/>
        <w:jc w:val="both"/>
        <w:rPr>
          <w:rFonts w:ascii="Times New Roman" w:hAnsi="Times New Roman"/>
          <w:color w:val="000000"/>
          <w:sz w:val="24"/>
          <w:szCs w:val="24"/>
          <w:lang w:val="kk-KZ"/>
        </w:rPr>
      </w:pPr>
      <w:r w:rsidRPr="00C473D3">
        <w:rPr>
          <w:rFonts w:ascii="Times New Roman" w:eastAsia="Times New Roman" w:hAnsi="Times New Roman"/>
          <w:b/>
          <w:sz w:val="24"/>
          <w:szCs w:val="24"/>
          <w:lang w:val="kk-KZ" w:eastAsia="ru-RU"/>
        </w:rPr>
        <w:t>4.8 Жағымсыз реакциялар</w:t>
      </w:r>
      <w:bookmarkEnd w:id="5"/>
    </w:p>
    <w:p w14:paraId="4BE6FA0F" w14:textId="77777777" w:rsidR="00A63448" w:rsidRPr="005D4D1C" w:rsidRDefault="000A0115" w:rsidP="00A63448">
      <w:pPr>
        <w:adjustRightInd w:val="0"/>
        <w:snapToGrid w:val="0"/>
        <w:spacing w:after="0" w:line="20" w:lineRule="atLeast"/>
        <w:jc w:val="both"/>
        <w:rPr>
          <w:rFonts w:ascii="Times New Roman" w:hAnsi="Times New Roman"/>
          <w:i/>
          <w:sz w:val="24"/>
          <w:szCs w:val="24"/>
          <w:lang w:val="kk-KZ"/>
        </w:rPr>
      </w:pPr>
      <w:r w:rsidRPr="00C473D3">
        <w:rPr>
          <w:rFonts w:ascii="Times New Roman" w:hAnsi="Times New Roman"/>
          <w:i/>
          <w:sz w:val="24"/>
          <w:szCs w:val="24"/>
          <w:lang w:val="kk-KZ"/>
        </w:rPr>
        <w:t xml:space="preserve">Қауіпcіздік бейініне шолу </w:t>
      </w:r>
    </w:p>
    <w:p w14:paraId="7713DD33" w14:textId="5A43C24E" w:rsidR="00A63448" w:rsidRPr="005D4D1C" w:rsidRDefault="000A0115" w:rsidP="00F03EAF">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Лапатиниб қауіпсіздігі монотерапия кезінде немесе обырдың әртүрлі  түрлеріне арналған химиотерапияның басқа түрлерімен біріктірілімде 20 000-нан астам пациентте бағаланды, оның ішінде капецитабинмен лапатиниб қабылдаған 198 пациент, трастузумабпен лапатиниб қабылдаған 149 пациент және летрозолмен лапатиниб қабылдаған 654 пациент</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(5.1 бөлімін қараңыз).</w:t>
      </w:r>
    </w:p>
    <w:p w14:paraId="5019DFDE" w14:textId="77777777"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Лапатинибпен емдеу кезінде ең көп таралған жағымсыз реакциялар (&gt; 25%) асқазан-ішек жолы тарапынан бұзылулар (диарея, жүрек айну және құсу) және бөртпе болды. Лапатинибті капецитабинмен тағайындағанда алақан-табан эритродизестезиясы байқалды (&gt;25%). Алақан-табан эритродизестезиясының пайда болу жиілігі монотерапия ретінде капецитабин және капецитабинмен лапатиниб қабылдайтын пациенттер тобына ұқсас. Диарея лапатиниб капецитабинмен немесе летрозолмен бірге қабылданған кезде емдеуді тоқтатуға әкелетін ең көп таралған жанама реакция. </w:t>
      </w:r>
    </w:p>
    <w:p w14:paraId="0BAE28AF" w14:textId="00EB8712"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Трастузумабпен бірге лапатиниб қабылдаумен байланысты қандай да бір қосымша жағымсыз реакциялар туралы хабарланған жоқ. Кардиоуыттылық жағдайларының артуы байқалды, бірақ мәні мен ауырлығы бойынша бұл асқынулар лапатинибтің клиникалық бағдарламасында тіркелген асқынулармен салыстырылады</w:t>
      </w:r>
      <w:r w:rsidR="000F5505">
        <w:rPr>
          <w:rFonts w:ascii="Times New Roman" w:hAnsi="Times New Roman"/>
          <w:sz w:val="24"/>
          <w:szCs w:val="24"/>
          <w:lang w:val="kk-KZ"/>
        </w:rPr>
        <w:t xml:space="preserve"> </w:t>
      </w:r>
      <w:r w:rsidR="000F5505" w:rsidRPr="000F5505">
        <w:rPr>
          <w:rFonts w:ascii="Times New Roman" w:hAnsi="Times New Roman"/>
          <w:sz w:val="24"/>
          <w:szCs w:val="24"/>
          <w:lang w:val="kk-KZ"/>
        </w:rPr>
        <w:t>(</w:t>
      </w:r>
      <w:r w:rsidR="000F5505">
        <w:rPr>
          <w:rFonts w:ascii="Times New Roman" w:hAnsi="Times New Roman"/>
          <w:sz w:val="24"/>
          <w:szCs w:val="24"/>
          <w:lang w:val="kk-KZ"/>
        </w:rPr>
        <w:t>4.4</w:t>
      </w:r>
      <w:r w:rsidR="000F5505" w:rsidRPr="000F5505">
        <w:rPr>
          <w:rFonts w:ascii="Times New Roman" w:hAnsi="Times New Roman"/>
          <w:sz w:val="24"/>
          <w:szCs w:val="24"/>
          <w:lang w:val="kk-KZ"/>
        </w:rPr>
        <w:t xml:space="preserve"> бөлімін қараңыз)</w:t>
      </w:r>
      <w:r w:rsidRPr="00C473D3">
        <w:rPr>
          <w:rFonts w:ascii="Times New Roman" w:hAnsi="Times New Roman"/>
          <w:sz w:val="24"/>
          <w:szCs w:val="24"/>
          <w:lang w:val="kk-KZ"/>
        </w:rPr>
        <w:t xml:space="preserve">. Бұл деректер базалық зерттеуде 149 пациентте осы біріктірілімнің әсеріне негізделген. </w:t>
      </w:r>
    </w:p>
    <w:p w14:paraId="57F0D685" w14:textId="77777777" w:rsidR="00A63448" w:rsidRPr="005D4D1C" w:rsidRDefault="000A0115" w:rsidP="00A63448">
      <w:pPr>
        <w:spacing w:after="0" w:line="20" w:lineRule="atLeast"/>
        <w:ind w:left="-5" w:right="7"/>
        <w:jc w:val="both"/>
        <w:rPr>
          <w:rFonts w:ascii="Times New Roman" w:hAnsi="Times New Roman"/>
          <w:i/>
          <w:sz w:val="24"/>
          <w:szCs w:val="24"/>
          <w:lang w:val="kk-KZ"/>
        </w:rPr>
      </w:pPr>
      <w:r w:rsidRPr="00C473D3">
        <w:rPr>
          <w:rFonts w:ascii="Times New Roman" w:hAnsi="Times New Roman"/>
          <w:i/>
          <w:sz w:val="24"/>
          <w:szCs w:val="24"/>
          <w:lang w:val="kk-KZ"/>
        </w:rPr>
        <w:t xml:space="preserve">Жанама әсерлердің тізімі </w:t>
      </w:r>
    </w:p>
    <w:p w14:paraId="4D629E82" w14:textId="77777777"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Лапатинибті монотерапия ретінде немесе лапатиниб капецитабинмен, трастузумабпен немесе летрозолмен біріктірілімде қабылдаумен байланысты мынадай жағымсыз реакциялар туралы хабарланды. </w:t>
      </w:r>
    </w:p>
    <w:p w14:paraId="5B67B42C" w14:textId="77777777"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Пайда болу жиілігін жіктеу үшін мынадай белгілер пайдаланылды: </w:t>
      </w:r>
      <w:r w:rsidRPr="00C473D3">
        <w:rPr>
          <w:rFonts w:ascii="Times New Roman" w:hAnsi="Times New Roman"/>
          <w:i/>
          <w:sz w:val="24"/>
          <w:szCs w:val="24"/>
          <w:lang w:val="kk-KZ"/>
        </w:rPr>
        <w:t>өте жиі</w:t>
      </w:r>
      <w:r w:rsidRPr="00C473D3">
        <w:rPr>
          <w:rFonts w:ascii="Times New Roman" w:hAnsi="Times New Roman"/>
          <w:sz w:val="24"/>
          <w:szCs w:val="24"/>
          <w:lang w:val="kk-KZ"/>
        </w:rPr>
        <w:t xml:space="preserve"> ((≥1/10), </w:t>
      </w:r>
      <w:r w:rsidRPr="00C473D3">
        <w:rPr>
          <w:rFonts w:ascii="Times New Roman" w:hAnsi="Times New Roman"/>
          <w:i/>
          <w:sz w:val="24"/>
          <w:szCs w:val="24"/>
          <w:lang w:val="kk-KZ"/>
        </w:rPr>
        <w:t>жиі</w:t>
      </w:r>
      <w:r w:rsidRPr="00C473D3">
        <w:rPr>
          <w:rFonts w:ascii="Times New Roman" w:hAnsi="Times New Roman"/>
          <w:sz w:val="24"/>
          <w:szCs w:val="24"/>
          <w:lang w:val="kk-KZ"/>
        </w:rPr>
        <w:t xml:space="preserve"> (≥1/100 &lt;1/10 дейін), </w:t>
      </w:r>
      <w:r w:rsidRPr="00C473D3">
        <w:rPr>
          <w:rFonts w:ascii="Times New Roman" w:hAnsi="Times New Roman"/>
          <w:i/>
          <w:sz w:val="24"/>
          <w:szCs w:val="24"/>
          <w:lang w:val="kk-KZ"/>
        </w:rPr>
        <w:t>жиі емес</w:t>
      </w:r>
      <w:r w:rsidRPr="00C473D3">
        <w:rPr>
          <w:rFonts w:ascii="Times New Roman" w:hAnsi="Times New Roman"/>
          <w:sz w:val="24"/>
          <w:szCs w:val="24"/>
          <w:lang w:val="kk-KZ"/>
        </w:rPr>
        <w:t xml:space="preserve"> (≥1/1000 &lt;1/100 дейін), </w:t>
      </w:r>
      <w:r w:rsidRPr="00C473D3">
        <w:rPr>
          <w:rFonts w:ascii="Times New Roman" w:hAnsi="Times New Roman"/>
          <w:i/>
          <w:sz w:val="24"/>
          <w:szCs w:val="24"/>
          <w:lang w:val="kk-KZ"/>
        </w:rPr>
        <w:t>сирек</w:t>
      </w:r>
      <w:r w:rsidRPr="00C473D3">
        <w:rPr>
          <w:rFonts w:ascii="Times New Roman" w:hAnsi="Times New Roman"/>
          <w:sz w:val="24"/>
          <w:szCs w:val="24"/>
          <w:lang w:val="kk-KZ"/>
        </w:rPr>
        <w:t xml:space="preserve"> (≥1/10000 &lt;1/1000 дейін), </w:t>
      </w:r>
      <w:r w:rsidRPr="00C473D3">
        <w:rPr>
          <w:rFonts w:ascii="Times New Roman" w:hAnsi="Times New Roman"/>
          <w:i/>
          <w:sz w:val="24"/>
          <w:szCs w:val="24"/>
          <w:lang w:val="kk-KZ"/>
        </w:rPr>
        <w:t>өте сирек</w:t>
      </w:r>
      <w:r w:rsidRPr="00C473D3">
        <w:rPr>
          <w:rFonts w:ascii="Times New Roman" w:hAnsi="Times New Roman"/>
          <w:sz w:val="24"/>
          <w:szCs w:val="24"/>
          <w:lang w:val="kk-KZ"/>
        </w:rPr>
        <w:t xml:space="preserve"> (&lt; 1/10 000), белгісіз (қолда бар деректерден бағалануы мүмкін емес). </w:t>
      </w:r>
    </w:p>
    <w:p w14:paraId="3477D8BF" w14:textId="77777777" w:rsidR="00A63448" w:rsidRPr="005D4D1C" w:rsidRDefault="000A0115" w:rsidP="00A63448">
      <w:pPr>
        <w:spacing w:after="0" w:line="20" w:lineRule="atLeast"/>
        <w:jc w:val="both"/>
        <w:rPr>
          <w:rFonts w:ascii="Times New Roman" w:hAnsi="Times New Roman"/>
          <w:sz w:val="24"/>
          <w:szCs w:val="24"/>
          <w:lang w:val="kk-KZ"/>
        </w:rPr>
      </w:pPr>
      <w:r w:rsidRPr="00C473D3">
        <w:rPr>
          <w:rFonts w:ascii="Times New Roman" w:hAnsi="Times New Roman"/>
          <w:sz w:val="24"/>
          <w:szCs w:val="24"/>
          <w:lang w:val="kk-KZ"/>
        </w:rPr>
        <w:t>Әрбір жиілік тобында жағымсыз әсерлер ауырлық дәрежесінің кему тәртібімен берілген.</w:t>
      </w:r>
    </w:p>
    <w:p w14:paraId="74C2EC47" w14:textId="77777777" w:rsidR="0034555C" w:rsidRPr="005D4D1C" w:rsidRDefault="0034555C" w:rsidP="00A63448">
      <w:pPr>
        <w:spacing w:after="0" w:line="20" w:lineRule="atLeast"/>
        <w:jc w:val="both"/>
        <w:rPr>
          <w:rFonts w:ascii="Times New Roman" w:hAnsi="Times New Roman"/>
          <w:sz w:val="24"/>
          <w:szCs w:val="24"/>
          <w:lang w:val="kk-KZ"/>
        </w:rPr>
      </w:pPr>
    </w:p>
    <w:tbl>
      <w:tblPr>
        <w:tblW w:w="9072" w:type="dxa"/>
        <w:tblInd w:w="108" w:type="dxa"/>
        <w:tblCellMar>
          <w:top w:w="7" w:type="dxa"/>
          <w:right w:w="74" w:type="dxa"/>
        </w:tblCellMar>
        <w:tblLook w:val="04A0" w:firstRow="1" w:lastRow="0" w:firstColumn="1" w:lastColumn="0" w:noHBand="0" w:noVBand="1"/>
      </w:tblPr>
      <w:tblGrid>
        <w:gridCol w:w="1858"/>
        <w:gridCol w:w="7214"/>
      </w:tblGrid>
      <w:tr w:rsidR="00D77C3D" w14:paraId="1D1A78A2"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4EF5846"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Иммундық жүйе тарапынан бұзылулар </w:t>
            </w:r>
          </w:p>
        </w:tc>
      </w:tr>
      <w:tr w:rsidR="00D77C3D" w14:paraId="125109C5"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1B92946E"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Сирек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154EE91" w14:textId="28917F8D"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Анафилаксияны қоса, аса жоғары сезімталдық реакциялары</w:t>
            </w:r>
            <w:r w:rsidR="000F5505">
              <w:rPr>
                <w:rFonts w:ascii="Times New Roman" w:eastAsia="Times New Roman" w:hAnsi="Times New Roman"/>
                <w:sz w:val="24"/>
                <w:szCs w:val="24"/>
                <w:lang w:val="kk-KZ"/>
              </w:rPr>
              <w:t xml:space="preserve"> </w:t>
            </w:r>
            <w:r w:rsidR="000F5505" w:rsidRPr="000F5505">
              <w:rPr>
                <w:rFonts w:ascii="Times New Roman" w:eastAsia="Times New Roman" w:hAnsi="Times New Roman"/>
                <w:sz w:val="24"/>
                <w:szCs w:val="24"/>
                <w:lang w:val="kk-KZ"/>
              </w:rPr>
              <w:t>(</w:t>
            </w:r>
            <w:r w:rsidR="000F5505">
              <w:rPr>
                <w:rFonts w:ascii="Times New Roman" w:eastAsia="Times New Roman" w:hAnsi="Times New Roman"/>
                <w:sz w:val="24"/>
                <w:szCs w:val="24"/>
                <w:lang w:val="kk-KZ"/>
              </w:rPr>
              <w:t>4.3</w:t>
            </w:r>
            <w:r w:rsidR="000F5505" w:rsidRPr="000F5505">
              <w:rPr>
                <w:rFonts w:ascii="Times New Roman" w:eastAsia="Times New Roman" w:hAnsi="Times New Roman"/>
                <w:sz w:val="24"/>
                <w:szCs w:val="24"/>
                <w:lang w:val="kk-KZ"/>
              </w:rPr>
              <w:t xml:space="preserve"> бөлімін қараңыз).</w:t>
            </w:r>
          </w:p>
        </w:tc>
      </w:tr>
      <w:tr w:rsidR="00D77C3D" w14:paraId="29F51F9C"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9F07CEB"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Зат алмасу және тамақтану тарапынан бұзылулар </w:t>
            </w:r>
          </w:p>
        </w:tc>
      </w:tr>
      <w:tr w:rsidR="00D77C3D" w14:paraId="2BD50425"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3BCA6E27"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5FF096C6"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Анорексия </w:t>
            </w:r>
          </w:p>
        </w:tc>
      </w:tr>
      <w:tr w:rsidR="00D77C3D" w14:paraId="54380501"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60CCD98"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Психикалық бұзылулар </w:t>
            </w:r>
          </w:p>
        </w:tc>
      </w:tr>
      <w:tr w:rsidR="00D77C3D" w14:paraId="5F3A6CEA" w14:textId="77777777" w:rsidTr="00873FF7">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0424C777"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204DA61"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Ұйқысыздық* </w:t>
            </w:r>
          </w:p>
        </w:tc>
      </w:tr>
      <w:tr w:rsidR="00D77C3D" w14:paraId="1561A82F"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F713741"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Жүйке жүйесі тарапынан бұзылулар </w:t>
            </w:r>
          </w:p>
        </w:tc>
      </w:tr>
      <w:tr w:rsidR="00D77C3D" w14:paraId="5D8E92AB" w14:textId="77777777" w:rsidTr="00873FF7">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5E7DD84E"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CE0223F"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Бас ауыру</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xml:space="preserve"> </w:t>
            </w:r>
          </w:p>
        </w:tc>
      </w:tr>
      <w:tr w:rsidR="00D77C3D" w14:paraId="7D1E425D"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419D8469"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52ED8543"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Бас ауыру* </w:t>
            </w:r>
          </w:p>
        </w:tc>
      </w:tr>
      <w:tr w:rsidR="00D77C3D" w14:paraId="438A10E6"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CE4E0A0"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Жүрек тарапынан бұзылу </w:t>
            </w:r>
          </w:p>
        </w:tc>
      </w:tr>
      <w:tr w:rsidR="00D77C3D" w14:paraId="018B9889" w14:textId="77777777" w:rsidTr="00873FF7">
        <w:trPr>
          <w:trHeight w:val="516"/>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22B718EE"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5441FFA" w14:textId="44CB7B05" w:rsidR="00A63448" w:rsidRPr="00C473D3" w:rsidRDefault="000A0115" w:rsidP="00DD56FA">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Сол жақ қарыншаның шығару фракциясының төмендеуі</w:t>
            </w:r>
            <w:r w:rsidR="00DD56FA">
              <w:rPr>
                <w:rFonts w:ascii="Times New Roman" w:eastAsia="Times New Roman" w:hAnsi="Times New Roman"/>
                <w:sz w:val="24"/>
                <w:szCs w:val="24"/>
                <w:lang w:val="kk-KZ"/>
              </w:rPr>
              <w:t xml:space="preserve"> (4.2  </w:t>
            </w:r>
            <w:r w:rsidR="00DD56FA" w:rsidRPr="000F5505">
              <w:rPr>
                <w:rFonts w:ascii="Times New Roman" w:eastAsia="Times New Roman" w:hAnsi="Times New Roman"/>
                <w:sz w:val="24"/>
                <w:szCs w:val="24"/>
                <w:lang w:val="kk-KZ"/>
              </w:rPr>
              <w:t>бөлімін қараңыз</w:t>
            </w:r>
            <w:r w:rsidR="00DD56FA">
              <w:rPr>
                <w:rFonts w:ascii="Times New Roman" w:eastAsia="Times New Roman" w:hAnsi="Times New Roman"/>
                <w:sz w:val="24"/>
                <w:szCs w:val="24"/>
                <w:lang w:val="kk-KZ"/>
              </w:rPr>
              <w:t xml:space="preserve">, </w:t>
            </w:r>
            <w:r w:rsidRPr="00C473D3">
              <w:rPr>
                <w:rFonts w:ascii="Times New Roman" w:eastAsia="Times New Roman" w:hAnsi="Times New Roman"/>
                <w:sz w:val="24"/>
                <w:szCs w:val="24"/>
                <w:lang w:val="kk-KZ"/>
              </w:rPr>
              <w:t xml:space="preserve">- дозаның төмендеуі - жүрек тарапынан асқынулар </w:t>
            </w:r>
            <w:r w:rsidR="00DD56FA">
              <w:rPr>
                <w:rFonts w:ascii="Times New Roman" w:eastAsia="Times New Roman" w:hAnsi="Times New Roman"/>
                <w:sz w:val="24"/>
                <w:szCs w:val="24"/>
                <w:lang w:val="kk-KZ"/>
              </w:rPr>
              <w:t xml:space="preserve">және </w:t>
            </w:r>
            <w:r w:rsidR="000F5505">
              <w:rPr>
                <w:rFonts w:ascii="Times New Roman" w:eastAsia="Times New Roman" w:hAnsi="Times New Roman"/>
                <w:sz w:val="24"/>
                <w:szCs w:val="24"/>
                <w:lang w:val="kk-KZ"/>
              </w:rPr>
              <w:t xml:space="preserve">4.4 </w:t>
            </w:r>
            <w:r w:rsidR="000F5505" w:rsidRPr="000F5505">
              <w:rPr>
                <w:rFonts w:ascii="Times New Roman" w:eastAsia="Times New Roman" w:hAnsi="Times New Roman"/>
                <w:sz w:val="24"/>
                <w:szCs w:val="24"/>
                <w:lang w:val="kk-KZ"/>
              </w:rPr>
              <w:t>бөлімін қараңыз).</w:t>
            </w:r>
          </w:p>
        </w:tc>
      </w:tr>
      <w:tr w:rsidR="00D77C3D" w14:paraId="5FEE8E8B" w14:textId="77777777" w:rsidTr="00873FF7">
        <w:trPr>
          <w:trHeight w:val="516"/>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636763A9"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Белгісіз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0672476"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Вентрикулярлық аритмия/пируэтті тахикардия, электрокардиограммада QT аралығының ұзаруы** </w:t>
            </w:r>
          </w:p>
        </w:tc>
      </w:tr>
      <w:tr w:rsidR="00D77C3D" w14:paraId="5BEE0AA7"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DDF55DE"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Қантамырлар тарапынан бұзылулар </w:t>
            </w:r>
          </w:p>
        </w:tc>
      </w:tr>
      <w:tr w:rsidR="00D77C3D" w14:paraId="6CDE8F40"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561B7CD0"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779010B9"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Ысынулар</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xml:space="preserve"> </w:t>
            </w:r>
          </w:p>
        </w:tc>
      </w:tr>
      <w:tr w:rsidR="00D77C3D" w14:paraId="47CF18BB"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12A88CE"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Тыныс алу жүйесі, кеуде және көкірекорта ағзалары тарапынан бұзылулар </w:t>
            </w:r>
          </w:p>
        </w:tc>
      </w:tr>
      <w:tr w:rsidR="00D77C3D" w14:paraId="3BBDD190"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6EF4AC3A"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3B80154C"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Мұрыннан қан кету</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жөтел</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ентігу</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xml:space="preserve">. </w:t>
            </w:r>
          </w:p>
        </w:tc>
      </w:tr>
      <w:tr w:rsidR="00D77C3D" w14:paraId="5C2F890B" w14:textId="77777777" w:rsidTr="00873FF7">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7C1D49B1"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lastRenderedPageBreak/>
              <w:t xml:space="preserve">Жиі емес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0AA0F6FA"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Интерстициялық өкпе процесі/пневмонит. </w:t>
            </w:r>
          </w:p>
        </w:tc>
      </w:tr>
      <w:tr w:rsidR="00D77C3D" w14:paraId="4D35671D"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26A95BFD"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Белгісіз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4A3ACF74"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Өкпенің артериялық гипертензиясы**. </w:t>
            </w:r>
          </w:p>
        </w:tc>
      </w:tr>
      <w:tr w:rsidR="00D77C3D" w14:paraId="611B906D"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4C19270"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Асқазан-ішек бұзылулары </w:t>
            </w:r>
          </w:p>
        </w:tc>
      </w:tr>
      <w:tr w:rsidR="00D77C3D" w14:paraId="0CFC965A" w14:textId="77777777" w:rsidTr="00873FF7">
        <w:trPr>
          <w:trHeight w:val="768"/>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79809935"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558290DF" w14:textId="6687D1CB"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Сусыздануға әкелуі мүмкін диарея</w:t>
            </w:r>
            <w:r w:rsidR="004C01B6">
              <w:rPr>
                <w:rFonts w:ascii="Times New Roman" w:eastAsia="Times New Roman" w:hAnsi="Times New Roman"/>
                <w:sz w:val="24"/>
                <w:szCs w:val="24"/>
                <w:lang w:val="kk-KZ"/>
              </w:rPr>
              <w:t xml:space="preserve"> </w:t>
            </w:r>
            <w:r w:rsidR="004C01B6" w:rsidRPr="000F5505">
              <w:rPr>
                <w:rFonts w:ascii="Times New Roman" w:eastAsia="Times New Roman" w:hAnsi="Times New Roman"/>
                <w:sz w:val="24"/>
                <w:szCs w:val="24"/>
                <w:lang w:val="kk-KZ"/>
              </w:rPr>
              <w:t>(</w:t>
            </w:r>
            <w:r w:rsidR="004C01B6">
              <w:rPr>
                <w:rFonts w:ascii="Times New Roman" w:eastAsia="Times New Roman" w:hAnsi="Times New Roman"/>
                <w:sz w:val="24"/>
                <w:szCs w:val="24"/>
                <w:lang w:val="kk-KZ"/>
              </w:rPr>
              <w:t xml:space="preserve">4.2 </w:t>
            </w:r>
            <w:r w:rsidR="004C01B6" w:rsidRPr="00C473D3">
              <w:rPr>
                <w:rFonts w:ascii="Times New Roman" w:eastAsia="Times New Roman" w:hAnsi="Times New Roman"/>
                <w:sz w:val="24"/>
                <w:szCs w:val="24"/>
                <w:lang w:val="kk-KZ"/>
              </w:rPr>
              <w:t xml:space="preserve">және </w:t>
            </w:r>
            <w:r w:rsidR="004C01B6">
              <w:rPr>
                <w:rFonts w:ascii="Times New Roman" w:eastAsia="Times New Roman" w:hAnsi="Times New Roman"/>
                <w:sz w:val="24"/>
                <w:szCs w:val="24"/>
                <w:lang w:val="kk-KZ"/>
              </w:rPr>
              <w:t xml:space="preserve">4.4 </w:t>
            </w:r>
            <w:r w:rsidR="004C01B6" w:rsidRPr="000F5505">
              <w:rPr>
                <w:rFonts w:ascii="Times New Roman" w:eastAsia="Times New Roman" w:hAnsi="Times New Roman"/>
                <w:sz w:val="24"/>
                <w:szCs w:val="24"/>
                <w:lang w:val="kk-KZ"/>
              </w:rPr>
              <w:t>бөлімін қараңыз)</w:t>
            </w:r>
            <w:r w:rsidRPr="00C473D3">
              <w:rPr>
                <w:rFonts w:ascii="Times New Roman" w:eastAsia="Times New Roman" w:hAnsi="Times New Roman"/>
                <w:sz w:val="24"/>
                <w:szCs w:val="24"/>
                <w:lang w:val="kk-KZ"/>
              </w:rPr>
              <w:t xml:space="preserve">, жүрек айну, құсу, диспепсия*, стоматит*, іш қату*, іштің ауыруы*. </w:t>
            </w:r>
          </w:p>
        </w:tc>
      </w:tr>
      <w:tr w:rsidR="00D77C3D" w14:paraId="150AB7EB"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5120BE48"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7030A3D9"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Іш қату</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xml:space="preserve"> </w:t>
            </w:r>
          </w:p>
        </w:tc>
      </w:tr>
      <w:tr w:rsidR="00D77C3D" w14:paraId="0EAB14F5"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73E5E0E"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Бауыр және өт шығару жолдары тарапынан бұзылулар </w:t>
            </w:r>
          </w:p>
        </w:tc>
      </w:tr>
      <w:tr w:rsidR="00D77C3D" w14:paraId="4388457C" w14:textId="77777777" w:rsidTr="00873FF7">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544FB49F"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0D12BC1" w14:textId="02309F8D"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Гипербилирубинемия, гепатоуыттылық</w:t>
            </w:r>
            <w:r w:rsidR="004C01B6">
              <w:rPr>
                <w:rFonts w:ascii="Times New Roman" w:eastAsia="Times New Roman" w:hAnsi="Times New Roman"/>
                <w:sz w:val="24"/>
                <w:szCs w:val="24"/>
                <w:lang w:val="kk-KZ"/>
              </w:rPr>
              <w:t xml:space="preserve"> </w:t>
            </w:r>
            <w:r w:rsidR="004C01B6" w:rsidRPr="000F5505">
              <w:rPr>
                <w:rFonts w:ascii="Times New Roman" w:eastAsia="Times New Roman" w:hAnsi="Times New Roman"/>
                <w:sz w:val="24"/>
                <w:szCs w:val="24"/>
                <w:lang w:val="kk-KZ"/>
              </w:rPr>
              <w:t>(</w:t>
            </w:r>
            <w:r w:rsidR="004C01B6">
              <w:rPr>
                <w:rFonts w:ascii="Times New Roman" w:eastAsia="Times New Roman" w:hAnsi="Times New Roman"/>
                <w:sz w:val="24"/>
                <w:szCs w:val="24"/>
                <w:lang w:val="kk-KZ"/>
              </w:rPr>
              <w:t xml:space="preserve">4.4 </w:t>
            </w:r>
            <w:r w:rsidR="004C01B6" w:rsidRPr="000F5505">
              <w:rPr>
                <w:rFonts w:ascii="Times New Roman" w:eastAsia="Times New Roman" w:hAnsi="Times New Roman"/>
                <w:sz w:val="24"/>
                <w:szCs w:val="24"/>
                <w:lang w:val="kk-KZ"/>
              </w:rPr>
              <w:t>бөлім</w:t>
            </w:r>
            <w:r w:rsidR="004C01B6">
              <w:rPr>
                <w:rFonts w:ascii="Times New Roman" w:eastAsia="Times New Roman" w:hAnsi="Times New Roman"/>
                <w:sz w:val="24"/>
                <w:szCs w:val="24"/>
                <w:lang w:val="kk-KZ"/>
              </w:rPr>
              <w:t>д</w:t>
            </w:r>
            <w:r w:rsidR="004C01B6" w:rsidRPr="000F5505">
              <w:rPr>
                <w:rFonts w:ascii="Times New Roman" w:eastAsia="Times New Roman" w:hAnsi="Times New Roman"/>
                <w:sz w:val="24"/>
                <w:szCs w:val="24"/>
                <w:lang w:val="kk-KZ"/>
              </w:rPr>
              <w:t>і қараңыз)</w:t>
            </w:r>
          </w:p>
        </w:tc>
      </w:tr>
      <w:tr w:rsidR="00D77C3D" w14:paraId="38FA3A60"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DDE6CA1"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Тері және тері асты тіндері тарапынан бұзылулар </w:t>
            </w:r>
          </w:p>
        </w:tc>
      </w:tr>
      <w:tr w:rsidR="00D77C3D" w14:paraId="56D6D644" w14:textId="77777777" w:rsidTr="00873FF7">
        <w:trPr>
          <w:trHeight w:val="768"/>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729E3F33"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3BEB8EEC" w14:textId="414D8D5D"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Бөртпе (соның ішінде акне тәрізді дерматит) </w:t>
            </w:r>
            <w:r w:rsidR="004C01B6" w:rsidRPr="000F5505">
              <w:rPr>
                <w:rFonts w:ascii="Times New Roman" w:eastAsia="Times New Roman" w:hAnsi="Times New Roman"/>
                <w:sz w:val="24"/>
                <w:szCs w:val="24"/>
                <w:lang w:val="kk-KZ"/>
              </w:rPr>
              <w:t>(</w:t>
            </w:r>
            <w:r w:rsidR="004C01B6">
              <w:rPr>
                <w:rFonts w:ascii="Times New Roman" w:eastAsia="Times New Roman" w:hAnsi="Times New Roman"/>
                <w:sz w:val="24"/>
                <w:szCs w:val="24"/>
                <w:lang w:val="kk-KZ"/>
              </w:rPr>
              <w:t xml:space="preserve">4.2 </w:t>
            </w:r>
            <w:r w:rsidR="004C01B6" w:rsidRPr="000F5505">
              <w:rPr>
                <w:rFonts w:ascii="Times New Roman" w:eastAsia="Times New Roman" w:hAnsi="Times New Roman"/>
                <w:sz w:val="24"/>
                <w:szCs w:val="24"/>
                <w:lang w:val="kk-KZ"/>
              </w:rPr>
              <w:t>бөлім</w:t>
            </w:r>
            <w:r w:rsidR="004C01B6">
              <w:rPr>
                <w:rFonts w:ascii="Times New Roman" w:eastAsia="Times New Roman" w:hAnsi="Times New Roman"/>
                <w:sz w:val="24"/>
                <w:szCs w:val="24"/>
                <w:lang w:val="kk-KZ"/>
              </w:rPr>
              <w:t>д</w:t>
            </w:r>
            <w:r w:rsidR="004C01B6" w:rsidRPr="000F5505">
              <w:rPr>
                <w:rFonts w:ascii="Times New Roman" w:eastAsia="Times New Roman" w:hAnsi="Times New Roman"/>
                <w:sz w:val="24"/>
                <w:szCs w:val="24"/>
                <w:lang w:val="kk-KZ"/>
              </w:rPr>
              <w:t>і қараңыз)</w:t>
            </w:r>
            <w:r w:rsidRPr="00C473D3">
              <w:rPr>
                <w:rFonts w:ascii="Times New Roman" w:eastAsia="Times New Roman" w:hAnsi="Times New Roman"/>
                <w:sz w:val="24"/>
                <w:szCs w:val="24"/>
                <w:lang w:val="kk-KZ"/>
              </w:rPr>
              <w:t xml:space="preserve">, терінің құрғауы* </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алақан-табан эритродизестезиясы синдромы *, алопеция</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xml:space="preserve">, қышыну </w:t>
            </w:r>
            <w:r w:rsidRPr="00C473D3">
              <w:rPr>
                <w:rFonts w:ascii="Times New Roman" w:eastAsia="Times New Roman" w:hAnsi="Times New Roman"/>
                <w:sz w:val="24"/>
                <w:szCs w:val="24"/>
                <w:vertAlign w:val="superscript"/>
                <w:lang w:val="kk-KZ"/>
              </w:rPr>
              <w:t>†</w:t>
            </w:r>
          </w:p>
        </w:tc>
      </w:tr>
      <w:tr w:rsidR="00D77C3D" w14:paraId="2BB76EFE"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0AE6C313"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51D6779C" w14:textId="0610AADA"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Тырнақтардың зақымдануы, соның ішінде паранихия</w:t>
            </w:r>
            <w:r w:rsidR="004C01B6">
              <w:rPr>
                <w:rFonts w:ascii="Times New Roman" w:eastAsia="Times New Roman" w:hAnsi="Times New Roman"/>
                <w:sz w:val="24"/>
                <w:szCs w:val="24"/>
                <w:lang w:val="kk-KZ"/>
              </w:rPr>
              <w:t xml:space="preserve">, </w:t>
            </w:r>
            <w:r w:rsidR="004C01B6" w:rsidRPr="004C01B6">
              <w:rPr>
                <w:rFonts w:ascii="Times New Roman" w:eastAsia="Times New Roman" w:hAnsi="Times New Roman"/>
                <w:sz w:val="24"/>
                <w:szCs w:val="24"/>
                <w:lang w:val="kk-KZ"/>
              </w:rPr>
              <w:t>тері жарықтары</w:t>
            </w:r>
          </w:p>
        </w:tc>
      </w:tr>
      <w:tr w:rsidR="00D77C3D" w14:paraId="649A9D84" w14:textId="77777777" w:rsidTr="00873FF7">
        <w:trPr>
          <w:trHeight w:val="517"/>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3729DF84"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Белгісіз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5C708B3D"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Стивенс-Джонсон синдромын (SJS) және уытты эпидермальді некролизді (TEN) қоса, елеулі тері реакциялары** </w:t>
            </w:r>
          </w:p>
        </w:tc>
      </w:tr>
      <w:tr w:rsidR="00D77C3D" w14:paraId="17C9366D"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A99C28C"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Қаңқа-бұлшықет және дәнекер тін тарапынан бұзылулар </w:t>
            </w:r>
          </w:p>
        </w:tc>
      </w:tr>
      <w:tr w:rsidR="00D77C3D" w14:paraId="278B1B67"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1D39A49A"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476C79D8"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Аяқ-қолдардың ауыруы*</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арқаның ауыруы*</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xml:space="preserve">, артралгия </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xml:space="preserve">. </w:t>
            </w:r>
          </w:p>
        </w:tc>
      </w:tr>
      <w:tr w:rsidR="00D77C3D" w14:paraId="07C29709"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EA70048"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Жалпы сипаттағы асқынулар және енгізу орнындағы реакциялар </w:t>
            </w:r>
          </w:p>
        </w:tc>
      </w:tr>
      <w:tr w:rsidR="00D77C3D" w14:paraId="71B47480"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4F28F5AE"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Өте жиі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71660400" w14:textId="77777777" w:rsidR="00A63448"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Шаршау, шырышты қабықтың қабынуы*, астения</w:t>
            </w:r>
            <w:r w:rsidRPr="00C473D3">
              <w:rPr>
                <w:rFonts w:ascii="Times New Roman" w:eastAsia="Times New Roman" w:hAnsi="Times New Roman"/>
                <w:sz w:val="24"/>
                <w:szCs w:val="24"/>
                <w:vertAlign w:val="superscript"/>
                <w:lang w:val="kk-KZ"/>
              </w:rPr>
              <w:t>†</w:t>
            </w:r>
            <w:r w:rsidRPr="00C473D3">
              <w:rPr>
                <w:rFonts w:ascii="Times New Roman" w:eastAsia="Times New Roman" w:hAnsi="Times New Roman"/>
                <w:sz w:val="24"/>
                <w:szCs w:val="24"/>
                <w:lang w:val="kk-KZ"/>
              </w:rPr>
              <w:t xml:space="preserve">. </w:t>
            </w:r>
          </w:p>
        </w:tc>
      </w:tr>
    </w:tbl>
    <w:p w14:paraId="32E6401F" w14:textId="77777777" w:rsidR="00A63448" w:rsidRPr="00C473D3" w:rsidRDefault="000A0115" w:rsidP="00A63448">
      <w:pPr>
        <w:spacing w:after="0" w:line="20" w:lineRule="atLeast"/>
        <w:ind w:left="551" w:right="7" w:hanging="566"/>
        <w:jc w:val="both"/>
        <w:rPr>
          <w:rFonts w:ascii="Times New Roman" w:hAnsi="Times New Roman"/>
          <w:sz w:val="24"/>
          <w:szCs w:val="24"/>
        </w:rPr>
      </w:pPr>
      <w:r w:rsidRPr="00C473D3">
        <w:rPr>
          <w:rFonts w:ascii="Times New Roman" w:hAnsi="Times New Roman"/>
          <w:sz w:val="24"/>
          <w:szCs w:val="24"/>
          <w:lang w:val="kk-KZ"/>
        </w:rPr>
        <w:t xml:space="preserve">* </w:t>
      </w:r>
      <w:r w:rsidRPr="00C473D3">
        <w:rPr>
          <w:rFonts w:ascii="Times New Roman" w:hAnsi="Times New Roman"/>
          <w:sz w:val="24"/>
          <w:szCs w:val="24"/>
          <w:lang w:val="kk-KZ"/>
        </w:rPr>
        <w:tab/>
        <w:t xml:space="preserve">Бұл жағымсыз реакциялар лапатинибті капецитабинмен біріктіріп тағайындаған кезде байқалды. </w:t>
      </w:r>
    </w:p>
    <w:p w14:paraId="4636B536" w14:textId="77777777" w:rsidR="00A63448" w:rsidRPr="00C473D3" w:rsidRDefault="000A0115" w:rsidP="00A63448">
      <w:pPr>
        <w:spacing w:after="0" w:line="20" w:lineRule="atLeast"/>
        <w:ind w:left="551" w:right="7" w:hanging="566"/>
        <w:jc w:val="both"/>
        <w:rPr>
          <w:rFonts w:ascii="Times New Roman" w:hAnsi="Times New Roman"/>
          <w:sz w:val="24"/>
          <w:szCs w:val="24"/>
        </w:rPr>
      </w:pPr>
      <w:r w:rsidRPr="00C473D3">
        <w:rPr>
          <w:rFonts w:ascii="Times New Roman" w:hAnsi="Times New Roman"/>
          <w:sz w:val="24"/>
          <w:szCs w:val="24"/>
          <w:vertAlign w:val="superscript"/>
          <w:lang w:val="kk-KZ"/>
        </w:rPr>
        <w:t xml:space="preserve">† </w:t>
      </w:r>
      <w:r w:rsidRPr="00C473D3">
        <w:rPr>
          <w:rFonts w:ascii="Times New Roman" w:hAnsi="Times New Roman"/>
          <w:sz w:val="24"/>
          <w:szCs w:val="24"/>
          <w:lang w:val="kk-KZ"/>
        </w:rPr>
        <w:tab/>
        <w:t xml:space="preserve">Бұл жағымсыз реакциялар лапатинибті летрозолмен біріктіріп тағайындаған кезде байқалды. </w:t>
      </w:r>
    </w:p>
    <w:p w14:paraId="3BD2AB30" w14:textId="16421609" w:rsidR="00A63448" w:rsidRPr="00C473D3" w:rsidRDefault="000A0115" w:rsidP="0034555C">
      <w:pPr>
        <w:tabs>
          <w:tab w:val="center" w:pos="3114"/>
        </w:tabs>
        <w:spacing w:after="0" w:line="20" w:lineRule="atLeast"/>
        <w:ind w:left="-15" w:firstLine="15"/>
        <w:jc w:val="both"/>
        <w:rPr>
          <w:rFonts w:ascii="Times New Roman" w:hAnsi="Times New Roman"/>
          <w:sz w:val="24"/>
          <w:szCs w:val="24"/>
        </w:rPr>
      </w:pPr>
      <w:r w:rsidRPr="00C473D3">
        <w:rPr>
          <w:rFonts w:ascii="Times New Roman" w:hAnsi="Times New Roman"/>
          <w:sz w:val="24"/>
          <w:szCs w:val="24"/>
          <w:lang w:val="kk-KZ"/>
        </w:rPr>
        <w:t xml:space="preserve">** </w:t>
      </w:r>
      <w:r w:rsidRPr="00C473D3">
        <w:rPr>
          <w:rFonts w:ascii="Times New Roman" w:hAnsi="Times New Roman"/>
          <w:sz w:val="24"/>
          <w:szCs w:val="24"/>
          <w:lang w:val="kk-KZ"/>
        </w:rPr>
        <w:tab/>
        <w:t xml:space="preserve">    </w:t>
      </w:r>
      <w:r w:rsidR="00DD56FA">
        <w:rPr>
          <w:rFonts w:ascii="Times New Roman" w:hAnsi="Times New Roman"/>
          <w:sz w:val="24"/>
          <w:szCs w:val="24"/>
          <w:lang w:val="kk-KZ"/>
        </w:rPr>
        <w:t>Өздігінен келіп түскен</w:t>
      </w:r>
      <w:r w:rsidRPr="00C473D3">
        <w:rPr>
          <w:rFonts w:ascii="Times New Roman" w:hAnsi="Times New Roman"/>
          <w:sz w:val="24"/>
          <w:szCs w:val="24"/>
          <w:lang w:val="kk-KZ"/>
        </w:rPr>
        <w:t xml:space="preserve"> есептер мен әдебиеттерден белгілі жағымсыз реакциялар </w:t>
      </w:r>
    </w:p>
    <w:p w14:paraId="1BFE30B9" w14:textId="77777777" w:rsidR="00A63448" w:rsidRPr="00C473D3" w:rsidRDefault="000A0115" w:rsidP="00A63448">
      <w:pPr>
        <w:spacing w:after="0" w:line="20" w:lineRule="atLeast"/>
        <w:jc w:val="both"/>
        <w:rPr>
          <w:rFonts w:ascii="Times New Roman" w:hAnsi="Times New Roman"/>
          <w:b/>
          <w:sz w:val="24"/>
          <w:szCs w:val="24"/>
          <w:lang w:val="ru"/>
        </w:rPr>
      </w:pPr>
      <w:r w:rsidRPr="00C473D3">
        <w:rPr>
          <w:rFonts w:ascii="Times New Roman" w:hAnsi="Times New Roman"/>
          <w:b/>
          <w:sz w:val="24"/>
          <w:szCs w:val="24"/>
          <w:lang w:val="kk-KZ"/>
        </w:rPr>
        <w:t xml:space="preserve">Таңдалған жағымсыз реакциялардың сипаттамасы </w:t>
      </w:r>
    </w:p>
    <w:p w14:paraId="019FEC59" w14:textId="77777777" w:rsidR="00A63448" w:rsidRPr="00C473D3" w:rsidRDefault="000A0115" w:rsidP="00A63448">
      <w:pPr>
        <w:spacing w:after="0" w:line="20" w:lineRule="atLeast"/>
        <w:jc w:val="both"/>
        <w:rPr>
          <w:rFonts w:ascii="Times New Roman" w:hAnsi="Times New Roman"/>
          <w:b/>
          <w:sz w:val="24"/>
          <w:szCs w:val="24"/>
        </w:rPr>
      </w:pPr>
      <w:r w:rsidRPr="00C473D3">
        <w:rPr>
          <w:rFonts w:ascii="Times New Roman" w:hAnsi="Times New Roman"/>
          <w:i/>
          <w:iCs/>
          <w:sz w:val="24"/>
          <w:szCs w:val="24"/>
          <w:lang w:val="kk-KZ"/>
        </w:rPr>
        <w:t xml:space="preserve">Сол жақ қарыншаның шығару фракциясының төмендеуі және QT аралығының ұзаруы </w:t>
      </w:r>
    </w:p>
    <w:p w14:paraId="6F3ABC37" w14:textId="77777777"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Сол жақ қарыншаның шығару фракциясының төмендеуі лапатиниб қабылдаған пациенттердің шамамен 1%-ында байқалды және жағдайлардың 70%-дан астамы </w:t>
      </w:r>
      <w:r w:rsidR="005F2308">
        <w:rPr>
          <w:rFonts w:ascii="Times New Roman" w:hAnsi="Times New Roman"/>
          <w:sz w:val="24"/>
          <w:szCs w:val="24"/>
          <w:lang w:val="kk-KZ"/>
        </w:rPr>
        <w:t>симптомсыз</w:t>
      </w:r>
      <w:r w:rsidRPr="00C473D3">
        <w:rPr>
          <w:rFonts w:ascii="Times New Roman" w:hAnsi="Times New Roman"/>
          <w:sz w:val="24"/>
          <w:szCs w:val="24"/>
          <w:lang w:val="kk-KZ"/>
        </w:rPr>
        <w:t xml:space="preserve"> болды. 70% жағдайда сол жақ қарыншаның шығару фракциясының төмендеуі шешілді немесе жақсарды, оның ішінде лапатинибті тоқтатқаннан кейін пациенттердің 60%-ында, лапатинибпен емдеуді жалғастырған кезде 40% -ында. Лапатинибті монотерапия ретінде немесе ісікке қарсы басқа препараттармен біріктіріп қабылдаған пациенттердің шамамен 0,3%-ында сол жақ қарыншаның шығару фракциясының төмендеу симптомдары дамыды. Жағымсыз реакциялар ретінде диспноэ, жүрек жеткіліксіздігі, жүрек соғуын сезу байқалды. Бұл симптоматикалық пациенттердің жалпы 58%-ы емделді. Лапатинибті капецитабинмен біріктірілімде қабылдаған пациенттердің 2,5%-ында капецитабинді монотерапия түрінде қабылдаған пациенттердің 1,0%-ымен салыстырғанда сол жақ қарыншаның шығару фракциясының төмендеуі байқалды. Лапатинибті летрозолмен біріктіріп қабылдаған пациенттердің 3,1%-ында летрозол мен плацебо қабылдаған пациенттердің 1,3%-ымен салыстырғанда сол жақ қарыншаның шығару фракциясының төмендеуі байқалды. Сол жақ қарыншаның шығару фракциясының төмендеуі лапатинибті трастузумабпен біріктірілімде қабылдаған пациенттердің 6,7%-ында, монотерапия түрінде лапатиниб қабылдаған пациенттердің 2,1%-ымен салыстырғанда байқалды. </w:t>
      </w:r>
    </w:p>
    <w:p w14:paraId="3B53786D" w14:textId="78149E1A"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Концентрацияға байланысты QTcF (ең жоғары орташа ΔΔQTcF 8,75 мс; 90% СА (4,08-13,42)) жоғарылауы жоғары сатыдағы тығыз ісіктері бар пациенттердің қатысуымен QT мамандандырылған зерттеуінде байқалды</w:t>
      </w:r>
      <w:r w:rsidR="004C01B6">
        <w:rPr>
          <w:rFonts w:ascii="Times New Roman" w:hAnsi="Times New Roman"/>
          <w:sz w:val="24"/>
          <w:szCs w:val="24"/>
          <w:lang w:val="kk-KZ"/>
        </w:rPr>
        <w:t xml:space="preserve"> </w:t>
      </w:r>
      <w:r w:rsidR="004C01B6" w:rsidRPr="004C01B6">
        <w:rPr>
          <w:rFonts w:ascii="Times New Roman" w:hAnsi="Times New Roman"/>
          <w:sz w:val="24"/>
          <w:szCs w:val="24"/>
          <w:lang w:val="kk-KZ"/>
        </w:rPr>
        <w:t>(4.4 бөлімді қараңыз)</w:t>
      </w:r>
      <w:r w:rsidRPr="00C473D3">
        <w:rPr>
          <w:rFonts w:ascii="Times New Roman" w:hAnsi="Times New Roman"/>
          <w:sz w:val="24"/>
          <w:szCs w:val="24"/>
          <w:lang w:val="kk-KZ"/>
        </w:rPr>
        <w:t>.</w:t>
      </w:r>
    </w:p>
    <w:p w14:paraId="0C3FC8F0" w14:textId="77777777"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i/>
          <w:iCs/>
          <w:sz w:val="24"/>
          <w:szCs w:val="24"/>
          <w:lang w:val="kk-KZ"/>
        </w:rPr>
        <w:t xml:space="preserve">Диарея </w:t>
      </w:r>
    </w:p>
    <w:p w14:paraId="060C62C7" w14:textId="2B3F753C" w:rsidR="00A63448" w:rsidRPr="005D4D1C" w:rsidRDefault="000A0115" w:rsidP="00A63448">
      <w:pPr>
        <w:spacing w:after="0" w:line="20" w:lineRule="atLeast"/>
        <w:ind w:left="-5" w:right="134"/>
        <w:jc w:val="both"/>
        <w:rPr>
          <w:rFonts w:ascii="Times New Roman" w:hAnsi="Times New Roman"/>
          <w:sz w:val="24"/>
          <w:szCs w:val="24"/>
          <w:lang w:val="kk-KZ"/>
        </w:rPr>
      </w:pPr>
      <w:r w:rsidRPr="00C473D3">
        <w:rPr>
          <w:rFonts w:ascii="Times New Roman" w:hAnsi="Times New Roman"/>
          <w:sz w:val="24"/>
          <w:szCs w:val="24"/>
          <w:lang w:val="kk-KZ"/>
        </w:rPr>
        <w:t xml:space="preserve">Лапатинибті капецитабинмен біріктірілімде қабылдаған пациенттердің шамамен 65%-ында, лапатинибті летрозолмен біріктірілімде қабылдаған пациенттердің 64%-ында </w:t>
      </w:r>
      <w:r w:rsidRPr="00C473D3">
        <w:rPr>
          <w:rFonts w:ascii="Times New Roman" w:hAnsi="Times New Roman"/>
          <w:sz w:val="24"/>
          <w:szCs w:val="24"/>
          <w:lang w:val="kk-KZ"/>
        </w:rPr>
        <w:lastRenderedPageBreak/>
        <w:t>және лапатинибті трастузумабпен біріктірілімде  қабылдаған пациенттердің 62%-ында диарея байқалды. Көп жағдайда диарея 1 немесе 2-дәрежелі ауырлыққа ие болды және лапатинибті тоқтатуды қажет етпеді. Диарея профилактикалық шаралармен реттеледі</w:t>
      </w:r>
      <w:r w:rsidR="004C01B6">
        <w:rPr>
          <w:rFonts w:ascii="Times New Roman" w:hAnsi="Times New Roman"/>
          <w:sz w:val="24"/>
          <w:szCs w:val="24"/>
          <w:lang w:val="kk-KZ"/>
        </w:rPr>
        <w:t xml:space="preserve"> </w:t>
      </w:r>
      <w:r w:rsidR="004C01B6" w:rsidRPr="004C01B6">
        <w:rPr>
          <w:rFonts w:ascii="Times New Roman" w:hAnsi="Times New Roman"/>
          <w:sz w:val="24"/>
          <w:szCs w:val="24"/>
          <w:lang w:val="kk-KZ"/>
        </w:rPr>
        <w:t>(4.4 бөлімді қараңыз)</w:t>
      </w:r>
      <w:r w:rsidRPr="00C473D3">
        <w:rPr>
          <w:rFonts w:ascii="Times New Roman" w:hAnsi="Times New Roman"/>
          <w:sz w:val="24"/>
          <w:szCs w:val="24"/>
          <w:lang w:val="kk-KZ"/>
        </w:rPr>
        <w:t xml:space="preserve">. Дегенмен, диарея аясында ауыр дегидратацияның дамуына байланысты жедел бүйрек жеткіліксіздігінің бірнеше жағдайлары анықталды. </w:t>
      </w:r>
    </w:p>
    <w:p w14:paraId="243619A0" w14:textId="77777777" w:rsidR="00A63448" w:rsidRPr="005D4D1C" w:rsidRDefault="000A0115" w:rsidP="00A63448">
      <w:pPr>
        <w:spacing w:after="0" w:line="20" w:lineRule="atLeast"/>
        <w:ind w:left="-5" w:right="134"/>
        <w:jc w:val="both"/>
        <w:rPr>
          <w:rFonts w:ascii="Times New Roman" w:hAnsi="Times New Roman"/>
          <w:sz w:val="24"/>
          <w:szCs w:val="24"/>
          <w:lang w:val="kk-KZ"/>
        </w:rPr>
      </w:pPr>
      <w:r w:rsidRPr="00C473D3">
        <w:rPr>
          <w:rFonts w:ascii="Times New Roman" w:hAnsi="Times New Roman"/>
          <w:i/>
          <w:iCs/>
          <w:sz w:val="24"/>
          <w:szCs w:val="24"/>
          <w:lang w:val="kk-KZ"/>
        </w:rPr>
        <w:t xml:space="preserve">Бөртпелер  </w:t>
      </w:r>
    </w:p>
    <w:p w14:paraId="4A81E4D8" w14:textId="77777777"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Бөртпе лапатинибті капецитабинмен біріктірілімде қабылдаған пациенттердің шамамен 28%-ында, лапатинибті летрозолмен біріктірілімде қабылдаған пациенттердің 45%-ында және лапатинибті трастузумабпен біріктірілімде қабылдаған пациенттердің 23%-ында байқалды. Негізінен, бөртпенің ауырлық дәрежесі төмен болды және лапатинибті тоқтатуды қажет етпеді. Емдеуші дәрігерлер емдеуді бастамас бұрын және емдеу кезінде пациенттің терісін үнемі тексеріп отыруы керек. Тері реакцияларын бастан кешіретін пациенттерге күн сәулесінің әсерінен аулақ болу және қорғаныс факторы (SPF) 30 кең спектрлі күннен қорғайтын кремді қолдану ұсынылады. Тері реакциялары пайда болған жағдайда пациент инцидент шешілгеннен кейін бір ай бойы толық тексеруден өтуі тиіс. Жалпы немесе тұрақты тері реакциясы бар пациенттер дерматологқа жіберілуі керек. </w:t>
      </w:r>
    </w:p>
    <w:p w14:paraId="74350483" w14:textId="77777777" w:rsidR="00A63448" w:rsidRPr="005D4D1C" w:rsidRDefault="000A0115" w:rsidP="00A63448">
      <w:pPr>
        <w:spacing w:after="0" w:line="20" w:lineRule="atLeast"/>
        <w:ind w:left="-5" w:right="7"/>
        <w:jc w:val="both"/>
        <w:rPr>
          <w:rFonts w:ascii="Times New Roman" w:hAnsi="Times New Roman"/>
          <w:sz w:val="24"/>
          <w:szCs w:val="24"/>
          <w:lang w:val="kk-KZ"/>
        </w:rPr>
      </w:pPr>
      <w:r w:rsidRPr="00C473D3">
        <w:rPr>
          <w:rFonts w:ascii="Times New Roman" w:hAnsi="Times New Roman"/>
          <w:i/>
          <w:iCs/>
          <w:sz w:val="24"/>
          <w:szCs w:val="24"/>
          <w:lang w:val="kk-KZ"/>
        </w:rPr>
        <w:t xml:space="preserve">Гепатоуыттылық </w:t>
      </w:r>
    </w:p>
    <w:p w14:paraId="30FB11D2" w14:textId="29499541" w:rsidR="00A63448" w:rsidRPr="005D4D1C" w:rsidRDefault="000A0115" w:rsidP="00A63448">
      <w:pPr>
        <w:spacing w:after="0" w:line="20" w:lineRule="atLeast"/>
        <w:ind w:left="-5" w:right="7"/>
        <w:jc w:val="both"/>
        <w:rPr>
          <w:rFonts w:ascii="Times New Roman" w:hAnsi="Times New Roman"/>
          <w:sz w:val="24"/>
          <w:szCs w:val="24"/>
          <w:lang w:val="kk-KZ"/>
        </w:rPr>
      </w:pPr>
      <w:r w:rsidRPr="009D177A">
        <w:rPr>
          <w:rFonts w:ascii="Times New Roman" w:hAnsi="Times New Roman"/>
          <w:sz w:val="24"/>
          <w:szCs w:val="24"/>
          <w:lang w:val="kk-KZ"/>
        </w:rPr>
        <w:t>Лапатинибтен туындаған гепатоуыттылықтың даму қаупі HLA DQA1*02:01 және DRB1*07:01 аллельдерінің тасымалдаушылығымен байланысты болды</w:t>
      </w:r>
      <w:r w:rsidR="004C01B6">
        <w:rPr>
          <w:rFonts w:ascii="Times New Roman" w:hAnsi="Times New Roman"/>
          <w:sz w:val="24"/>
          <w:szCs w:val="24"/>
          <w:lang w:val="kk-KZ"/>
        </w:rPr>
        <w:t xml:space="preserve"> </w:t>
      </w:r>
      <w:r w:rsidR="004C01B6" w:rsidRPr="004C01B6">
        <w:rPr>
          <w:rFonts w:ascii="Times New Roman" w:hAnsi="Times New Roman"/>
          <w:sz w:val="24"/>
          <w:szCs w:val="24"/>
          <w:lang w:val="kk-KZ"/>
        </w:rPr>
        <w:t>(4.4 бөлімді қараңыз)</w:t>
      </w:r>
      <w:r w:rsidRPr="009D177A">
        <w:rPr>
          <w:rFonts w:ascii="Times New Roman" w:hAnsi="Times New Roman"/>
          <w:sz w:val="24"/>
          <w:szCs w:val="24"/>
          <w:lang w:val="kk-KZ"/>
        </w:rPr>
        <w:t xml:space="preserve">. </w:t>
      </w:r>
    </w:p>
    <w:p w14:paraId="2AE7856C" w14:textId="77777777" w:rsidR="004528E1" w:rsidRPr="005D4D1C" w:rsidRDefault="004528E1" w:rsidP="0078568D">
      <w:pPr>
        <w:spacing w:after="0" w:line="240" w:lineRule="auto"/>
        <w:jc w:val="both"/>
        <w:rPr>
          <w:rFonts w:ascii="Times New Roman" w:hAnsi="Times New Roman"/>
          <w:sz w:val="24"/>
          <w:szCs w:val="24"/>
          <w:lang w:val="kk-KZ"/>
        </w:rPr>
      </w:pPr>
    </w:p>
    <w:p w14:paraId="0EF65BCD" w14:textId="77777777" w:rsidR="00814DFC" w:rsidRPr="005D4D1C" w:rsidRDefault="000A0115" w:rsidP="0078568D">
      <w:pPr>
        <w:spacing w:after="0" w:line="240" w:lineRule="auto"/>
        <w:jc w:val="both"/>
        <w:rPr>
          <w:rFonts w:ascii="Times New Roman" w:hAnsi="Times New Roman"/>
          <w:b/>
          <w:sz w:val="24"/>
          <w:szCs w:val="24"/>
          <w:lang w:val="kk-KZ"/>
        </w:rPr>
      </w:pPr>
      <w:r w:rsidRPr="00C473D3">
        <w:rPr>
          <w:rFonts w:ascii="Times New Roman" w:hAnsi="Times New Roman"/>
          <w:b/>
          <w:sz w:val="24"/>
          <w:szCs w:val="24"/>
          <w:lang w:val="kk-KZ"/>
        </w:rPr>
        <w:t xml:space="preserve">Күмәнді жағымсыз реакциялар туралы хабарлау </w:t>
      </w:r>
    </w:p>
    <w:p w14:paraId="1C2C799A" w14:textId="77777777" w:rsidR="004528E1" w:rsidRPr="005D4D1C" w:rsidRDefault="000A0115" w:rsidP="0078568D">
      <w:pPr>
        <w:spacing w:after="0" w:line="240" w:lineRule="auto"/>
        <w:jc w:val="both"/>
        <w:rPr>
          <w:rFonts w:ascii="Times New Roman" w:hAnsi="Times New Roman"/>
          <w:sz w:val="24"/>
          <w:szCs w:val="24"/>
          <w:lang w:val="kk-KZ"/>
        </w:rPr>
      </w:pPr>
      <w:r w:rsidRPr="00C473D3">
        <w:rPr>
          <w:rFonts w:ascii="Times New Roman" w:hAnsi="Times New Roman"/>
          <w:sz w:val="24"/>
          <w:szCs w:val="24"/>
          <w:lang w:val="kk-KZ"/>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7141D046" w14:textId="77777777" w:rsidR="004528E1" w:rsidRPr="005D4D1C" w:rsidRDefault="000A0115" w:rsidP="0078568D">
      <w:pPr>
        <w:spacing w:after="0" w:line="240" w:lineRule="auto"/>
        <w:jc w:val="both"/>
        <w:rPr>
          <w:rFonts w:ascii="Times New Roman" w:hAnsi="Times New Roman"/>
          <w:sz w:val="24"/>
          <w:szCs w:val="24"/>
          <w:lang w:val="kk-KZ"/>
        </w:rPr>
      </w:pPr>
      <w:r w:rsidRPr="00C473D3">
        <w:rPr>
          <w:rFonts w:ascii="Times New Roman" w:hAnsi="Times New Roman"/>
          <w:sz w:val="24"/>
          <w:szCs w:val="24"/>
          <w:lang w:val="kk-KZ"/>
        </w:rPr>
        <w:t xml:space="preserve">«Дәрілік заттар мен медициналық бұйымдарды сараптау ұлттық      орталығы»  ШЖҚ РМК </w:t>
      </w:r>
    </w:p>
    <w:p w14:paraId="04E00AA4" w14:textId="77777777" w:rsidR="00814DFC" w:rsidRPr="00C473D3" w:rsidRDefault="003F63E2" w:rsidP="0078568D">
      <w:pPr>
        <w:spacing w:after="0" w:line="240" w:lineRule="auto"/>
        <w:jc w:val="both"/>
        <w:rPr>
          <w:rFonts w:ascii="Times New Roman" w:hAnsi="Times New Roman"/>
          <w:sz w:val="24"/>
          <w:szCs w:val="24"/>
        </w:rPr>
      </w:pPr>
      <w:hyperlink r:id="rId8" w:history="1">
        <w:r w:rsidR="000A0115" w:rsidRPr="00C473D3">
          <w:rPr>
            <w:rStyle w:val="af"/>
            <w:rFonts w:ascii="Times New Roman" w:hAnsi="Times New Roman"/>
            <w:sz w:val="24"/>
            <w:szCs w:val="24"/>
            <w:lang w:val="kk-KZ"/>
          </w:rPr>
          <w:t>http://www.ndda.kz</w:t>
        </w:r>
      </w:hyperlink>
    </w:p>
    <w:p w14:paraId="2204D6C6" w14:textId="77777777" w:rsidR="001B27CF" w:rsidRPr="00C473D3" w:rsidRDefault="001B27CF" w:rsidP="0078568D">
      <w:pPr>
        <w:spacing w:after="0" w:line="240" w:lineRule="auto"/>
        <w:jc w:val="both"/>
        <w:rPr>
          <w:rFonts w:ascii="Times New Roman" w:eastAsia="Times New Roman" w:hAnsi="Times New Roman"/>
          <w:sz w:val="24"/>
          <w:szCs w:val="24"/>
          <w:lang w:eastAsia="ru-RU"/>
        </w:rPr>
      </w:pPr>
    </w:p>
    <w:p w14:paraId="2EB02F51" w14:textId="77777777" w:rsidR="00C12F16" w:rsidRPr="00C473D3" w:rsidRDefault="000A0115" w:rsidP="00C12F16">
      <w:pPr>
        <w:spacing w:after="0" w:line="240" w:lineRule="auto"/>
        <w:jc w:val="both"/>
        <w:rPr>
          <w:rFonts w:ascii="Times New Roman" w:hAnsi="Times New Roman"/>
          <w:color w:val="000000"/>
          <w:sz w:val="24"/>
          <w:szCs w:val="24"/>
        </w:rPr>
      </w:pPr>
      <w:r w:rsidRPr="00C473D3">
        <w:rPr>
          <w:rFonts w:ascii="Times New Roman" w:eastAsia="Times New Roman" w:hAnsi="Times New Roman"/>
          <w:b/>
          <w:sz w:val="24"/>
          <w:szCs w:val="24"/>
          <w:lang w:val="kk-KZ" w:eastAsia="ru-RU"/>
        </w:rPr>
        <w:t>4.9 Артық дозалану</w:t>
      </w:r>
    </w:p>
    <w:p w14:paraId="3813F18C" w14:textId="77777777" w:rsidR="001B27CF" w:rsidRPr="005D4D1C" w:rsidRDefault="000A0115" w:rsidP="00C12F16">
      <w:pPr>
        <w:spacing w:after="0" w:line="240" w:lineRule="auto"/>
        <w:jc w:val="both"/>
        <w:rPr>
          <w:rFonts w:ascii="Times New Roman" w:hAnsi="Times New Roman"/>
          <w:color w:val="000000"/>
          <w:sz w:val="24"/>
          <w:szCs w:val="24"/>
          <w:lang w:val="kk-KZ"/>
        </w:rPr>
      </w:pPr>
      <w:r w:rsidRPr="00C473D3">
        <w:rPr>
          <w:rFonts w:ascii="Times New Roman" w:hAnsi="Times New Roman"/>
          <w:sz w:val="24"/>
          <w:lang w:val="kk-KZ"/>
        </w:rPr>
        <w:t xml:space="preserve">EGFR (ErbB1) және/немесе HER2 (ErbB2) тирозиннің фосфорлануын тежейтін арнайы антидот жоқ. Клиникалық зерттеулерде лапатинибтің ең жоғары пероральді тәуліктік дозасы 1800 мг құрады. </w:t>
      </w:r>
    </w:p>
    <w:p w14:paraId="70264765" w14:textId="04CDD9ED" w:rsidR="001B27CF" w:rsidRPr="005D4D1C" w:rsidRDefault="000A0115" w:rsidP="001B27CF">
      <w:pPr>
        <w:spacing w:after="0" w:line="240" w:lineRule="auto"/>
        <w:ind w:left="-6" w:right="6"/>
        <w:jc w:val="both"/>
        <w:rPr>
          <w:rFonts w:ascii="Times New Roman" w:hAnsi="Times New Roman"/>
          <w:sz w:val="24"/>
          <w:lang w:val="kk-KZ"/>
        </w:rPr>
      </w:pPr>
      <w:r w:rsidRPr="00C473D3">
        <w:rPr>
          <w:rFonts w:ascii="Times New Roman" w:hAnsi="Times New Roman"/>
          <w:sz w:val="24"/>
          <w:lang w:val="kk-KZ"/>
        </w:rPr>
        <w:t>Лапатиниб қабылдаған пациенттерде артық дозаланудың симптомсыз және симптоматикалық жағдайлары туралы хабарланды. 5000 мг лапатиниб қабылдаған пациенттерде лапатиниб қабылдаумен байланысты симптомдар, кейбір жағдайларда – терінің тітіркенуі және/немесе шырышты қабықтардың қабынуы байқалды</w:t>
      </w:r>
      <w:r w:rsidR="004C01B6">
        <w:rPr>
          <w:rFonts w:ascii="Times New Roman" w:hAnsi="Times New Roman"/>
          <w:sz w:val="24"/>
          <w:lang w:val="kk-KZ"/>
        </w:rPr>
        <w:t xml:space="preserve"> </w:t>
      </w:r>
      <w:r w:rsidR="004C01B6" w:rsidRPr="004C01B6">
        <w:rPr>
          <w:rFonts w:ascii="Times New Roman" w:hAnsi="Times New Roman"/>
          <w:sz w:val="24"/>
          <w:lang w:val="kk-KZ"/>
        </w:rPr>
        <w:t>(4.</w:t>
      </w:r>
      <w:r w:rsidR="004C01B6">
        <w:rPr>
          <w:rFonts w:ascii="Times New Roman" w:hAnsi="Times New Roman"/>
          <w:sz w:val="24"/>
          <w:lang w:val="kk-KZ"/>
        </w:rPr>
        <w:t>8</w:t>
      </w:r>
      <w:r w:rsidR="004C01B6" w:rsidRPr="004C01B6">
        <w:rPr>
          <w:rFonts w:ascii="Times New Roman" w:hAnsi="Times New Roman"/>
          <w:sz w:val="24"/>
          <w:lang w:val="kk-KZ"/>
        </w:rPr>
        <w:t xml:space="preserve"> бөлімді қараңыз)</w:t>
      </w:r>
      <w:r w:rsidRPr="00C473D3">
        <w:rPr>
          <w:rFonts w:ascii="Times New Roman" w:hAnsi="Times New Roman"/>
          <w:sz w:val="24"/>
          <w:lang w:val="kk-KZ"/>
        </w:rPr>
        <w:t xml:space="preserve">. Бір жағдайда, 9000 мг лапатиниб қабылдаған кезде синус тахикардиясының дамуы анықталды (ЭКГ өзгеруімен). </w:t>
      </w:r>
    </w:p>
    <w:p w14:paraId="078DEF19" w14:textId="77777777" w:rsidR="001B27CF" w:rsidRPr="005D4D1C" w:rsidRDefault="000A0115" w:rsidP="001B27CF">
      <w:pPr>
        <w:spacing w:after="0" w:line="240" w:lineRule="auto"/>
        <w:ind w:left="-6" w:right="6"/>
        <w:jc w:val="both"/>
        <w:rPr>
          <w:rFonts w:ascii="Times New Roman" w:hAnsi="Times New Roman"/>
          <w:sz w:val="24"/>
          <w:lang w:val="kk-KZ"/>
        </w:rPr>
      </w:pPr>
      <w:r w:rsidRPr="00C473D3">
        <w:rPr>
          <w:rFonts w:ascii="Times New Roman" w:hAnsi="Times New Roman"/>
          <w:sz w:val="24"/>
          <w:lang w:val="kk-KZ"/>
        </w:rPr>
        <w:t xml:space="preserve">Лапатиниб негізінен бүйрек арқылы шығарылмайды және плазма ақуыздарымен қатты байланысты, сондықтан гемодиализ лапатинибті шығаруды жақсартудың тиімді әдісі болып табылмайды деп есептеледі. </w:t>
      </w:r>
    </w:p>
    <w:p w14:paraId="6B1A39DE" w14:textId="77777777" w:rsidR="001B27CF" w:rsidRPr="005D4D1C" w:rsidRDefault="000A0115" w:rsidP="001B27CF">
      <w:pPr>
        <w:spacing w:after="0" w:line="240" w:lineRule="auto"/>
        <w:ind w:left="-6" w:right="6"/>
        <w:jc w:val="both"/>
        <w:rPr>
          <w:rFonts w:ascii="Times New Roman" w:hAnsi="Times New Roman"/>
          <w:sz w:val="24"/>
          <w:lang w:val="kk-KZ"/>
        </w:rPr>
      </w:pPr>
      <w:r w:rsidRPr="00C473D3">
        <w:rPr>
          <w:rFonts w:ascii="Times New Roman" w:hAnsi="Times New Roman"/>
          <w:sz w:val="24"/>
          <w:lang w:val="kk-KZ"/>
        </w:rPr>
        <w:t xml:space="preserve">Одан кейінгі шаралар, егер бар болса, ұлттық токсикологиялық орталықтардың клиникалық көрсеткіштеріне немесе ұсынымдарына сәйкес қабылданады. </w:t>
      </w:r>
    </w:p>
    <w:p w14:paraId="682AE4CB" w14:textId="77777777" w:rsidR="00ED4BEF" w:rsidRPr="005D4D1C" w:rsidRDefault="00ED4BEF" w:rsidP="0078568D">
      <w:pPr>
        <w:autoSpaceDE w:val="0"/>
        <w:autoSpaceDN w:val="0"/>
        <w:adjustRightInd w:val="0"/>
        <w:spacing w:after="0" w:line="240" w:lineRule="auto"/>
        <w:rPr>
          <w:rFonts w:ascii="Times New Roman" w:hAnsi="Times New Roman"/>
          <w:b/>
          <w:sz w:val="24"/>
          <w:szCs w:val="24"/>
          <w:lang w:val="kk-KZ" w:eastAsia="ru-RU"/>
        </w:rPr>
      </w:pPr>
    </w:p>
    <w:p w14:paraId="5098365B" w14:textId="77777777" w:rsidR="00C153F2" w:rsidRPr="005D4D1C" w:rsidRDefault="000A0115"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C473D3">
        <w:rPr>
          <w:rFonts w:ascii="Times New Roman" w:hAnsi="Times New Roman"/>
          <w:b/>
          <w:sz w:val="24"/>
          <w:szCs w:val="24"/>
          <w:lang w:val="kk-KZ" w:eastAsia="ru-RU"/>
        </w:rPr>
        <w:t>5. ФАРМАКОЛОГИЯЛЫҚ ҚАСИЕТТЕРІ</w:t>
      </w:r>
    </w:p>
    <w:p w14:paraId="7A6A2F80" w14:textId="77777777" w:rsidR="00C153F2" w:rsidRPr="005D4D1C" w:rsidRDefault="000A0115"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C473D3">
        <w:rPr>
          <w:rFonts w:ascii="Times New Roman" w:hAnsi="Times New Roman"/>
          <w:b/>
          <w:sz w:val="24"/>
          <w:szCs w:val="24"/>
          <w:lang w:val="kk-KZ" w:eastAsia="ru-RU"/>
        </w:rPr>
        <w:t>5.1. Фармакодинамикалық қасиеттері</w:t>
      </w:r>
    </w:p>
    <w:p w14:paraId="34A838E7" w14:textId="7A201B25" w:rsidR="001855F0" w:rsidRPr="00A223FE" w:rsidRDefault="001855F0" w:rsidP="001855F0">
      <w:pPr>
        <w:spacing w:after="0" w:line="240" w:lineRule="auto"/>
        <w:jc w:val="both"/>
        <w:rPr>
          <w:rFonts w:ascii="Times New Roman" w:hAnsi="Times New Roman"/>
          <w:sz w:val="24"/>
          <w:szCs w:val="24"/>
          <w:lang w:val="kk"/>
        </w:rPr>
      </w:pPr>
      <w:r w:rsidRPr="00C22DC5">
        <w:rPr>
          <w:rFonts w:ascii="Times New Roman" w:hAnsi="Times New Roman"/>
          <w:sz w:val="24"/>
          <w:szCs w:val="24"/>
          <w:lang w:val="kk"/>
        </w:rPr>
        <w:t xml:space="preserve">Фармакотерапиялық тобы: </w:t>
      </w:r>
      <w:r w:rsidR="00DD56FA" w:rsidRPr="00DD56FA">
        <w:rPr>
          <w:rFonts w:ascii="Times New Roman" w:hAnsi="Times New Roman"/>
          <w:sz w:val="24"/>
          <w:szCs w:val="24"/>
          <w:lang w:val="kk"/>
        </w:rPr>
        <w:t>Антинеопластикалық препараттар. Протеинкиназа тежегіштері. Адамның эпидермалық өсу факторы 2 (HER2) рецепторларының тирозинкиназа тежегіштері. Лапатиниб.</w:t>
      </w:r>
    </w:p>
    <w:p w14:paraId="5252863E" w14:textId="77777777" w:rsidR="001855F0" w:rsidRDefault="001855F0" w:rsidP="001855F0">
      <w:pPr>
        <w:spacing w:after="0" w:line="20" w:lineRule="atLeast"/>
        <w:jc w:val="both"/>
        <w:rPr>
          <w:rFonts w:ascii="Times New Roman" w:hAnsi="Times New Roman"/>
          <w:sz w:val="24"/>
          <w:szCs w:val="24"/>
          <w:lang w:val="kk"/>
        </w:rPr>
      </w:pPr>
      <w:r w:rsidRPr="00C22DC5">
        <w:rPr>
          <w:rFonts w:ascii="Times New Roman" w:hAnsi="Times New Roman"/>
          <w:sz w:val="24"/>
          <w:szCs w:val="24"/>
          <w:lang w:val="kk"/>
        </w:rPr>
        <w:lastRenderedPageBreak/>
        <w:t>АТХ коды L01EH01</w:t>
      </w:r>
    </w:p>
    <w:p w14:paraId="1DD279BA" w14:textId="069662A2" w:rsidR="00127040" w:rsidRPr="005D4D1C" w:rsidRDefault="000A0115" w:rsidP="001855F0">
      <w:pPr>
        <w:spacing w:after="0" w:line="20" w:lineRule="atLeast"/>
        <w:jc w:val="both"/>
        <w:rPr>
          <w:rFonts w:ascii="Times New Roman" w:hAnsi="Times New Roman"/>
          <w:i/>
          <w:sz w:val="24"/>
          <w:szCs w:val="24"/>
          <w:lang w:val="kk-KZ"/>
        </w:rPr>
      </w:pPr>
      <w:r w:rsidRPr="00C473D3">
        <w:rPr>
          <w:rFonts w:ascii="Times New Roman" w:hAnsi="Times New Roman"/>
          <w:i/>
          <w:sz w:val="24"/>
          <w:szCs w:val="24"/>
          <w:lang w:val="kk-KZ"/>
        </w:rPr>
        <w:t xml:space="preserve">Әсер ету механизмі  </w:t>
      </w:r>
    </w:p>
    <w:p w14:paraId="2E9492D6"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Лапатиниб, 4-анилиноквиназолин, EGFR (ErbB1) және HER2 (ErbB2) рецепторларының жасушаішілік тирозинкиназа тежегіші (сәйкесінше Ki</w:t>
      </w:r>
      <w:r w:rsidRPr="00C473D3">
        <w:rPr>
          <w:rFonts w:ascii="Times New Roman" w:hAnsi="Times New Roman"/>
          <w:sz w:val="24"/>
          <w:szCs w:val="24"/>
          <w:vertAlign w:val="superscript"/>
          <w:lang w:val="kk-KZ"/>
        </w:rPr>
        <w:t>app</w:t>
      </w:r>
      <w:r w:rsidRPr="00C473D3">
        <w:rPr>
          <w:rFonts w:ascii="Times New Roman" w:hAnsi="Times New Roman"/>
          <w:sz w:val="24"/>
          <w:szCs w:val="24"/>
          <w:lang w:val="kk-KZ"/>
        </w:rPr>
        <w:t xml:space="preserve"> 3нМ және 13 нМ есептелген мәні) осы рецепторлардың баяу диссоциациялану жылдамдығымен (жартылай шығарылу кезеңі 300 минуттан көп немесе оған тең) Лапатиниб жануарларға жүргізілген әртүрлі эксперименттік модельдерде ErbB </w:t>
      </w:r>
      <w:r w:rsidRPr="00C473D3">
        <w:rPr>
          <w:rFonts w:ascii="Times New Roman" w:hAnsi="Times New Roman"/>
          <w:i/>
          <w:iCs/>
          <w:sz w:val="24"/>
          <w:szCs w:val="24"/>
          <w:lang w:val="kk-KZ"/>
        </w:rPr>
        <w:t>in vitro</w:t>
      </w:r>
      <w:r w:rsidRPr="00C473D3">
        <w:rPr>
          <w:rFonts w:ascii="Times New Roman" w:hAnsi="Times New Roman"/>
          <w:sz w:val="24"/>
          <w:szCs w:val="24"/>
          <w:lang w:val="kk-KZ"/>
        </w:rPr>
        <w:t xml:space="preserve"> әсерінен ісік жасушаларының өсуін тежейді. </w:t>
      </w:r>
    </w:p>
    <w:p w14:paraId="14D1F369"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 пен трастузумабтың үйлесімі қосымша әсер ету механизмдеріне, сондай-ақ ықтимал кедергі келтірмейтін тұрақтылық механизмдеріне ықпал етуі мүмкін. Лапатинибтің өсуге тежеуші әсері трастузумабтың әсерінде болатын жасушалық желілерде бағаланды. Лапатиниб құрамында трастузумаб бар орталарда </w:t>
      </w:r>
      <w:r w:rsidRPr="00C473D3">
        <w:rPr>
          <w:rFonts w:ascii="Times New Roman" w:hAnsi="Times New Roman"/>
          <w:i/>
          <w:iCs/>
          <w:sz w:val="24"/>
          <w:szCs w:val="24"/>
          <w:lang w:val="kk-KZ"/>
        </w:rPr>
        <w:t>in vitro</w:t>
      </w:r>
      <w:r w:rsidRPr="00C473D3">
        <w:rPr>
          <w:rFonts w:ascii="Times New Roman" w:hAnsi="Times New Roman"/>
          <w:sz w:val="24"/>
          <w:szCs w:val="24"/>
          <w:lang w:val="kk-KZ"/>
        </w:rPr>
        <w:t xml:space="preserve"> ұзақ өсу үшін таңдалған HER2 күшейтілген сүт безі обырының жасушалық желілеріне қатысты айтарлықтай белсенділікті сақтап, осы жасушалық желілерге трастузумабпен үйлесімде синергиялық әсер көрсетті. </w:t>
      </w:r>
    </w:p>
    <w:p w14:paraId="5573CA8D" w14:textId="77777777" w:rsidR="00127040" w:rsidRPr="005D4D1C" w:rsidRDefault="000A0115" w:rsidP="00127040">
      <w:pPr>
        <w:spacing w:after="0" w:line="20" w:lineRule="atLeast"/>
        <w:ind w:left="-5" w:right="7"/>
        <w:jc w:val="both"/>
        <w:rPr>
          <w:rFonts w:ascii="Times New Roman" w:hAnsi="Times New Roman"/>
          <w:i/>
          <w:sz w:val="24"/>
          <w:szCs w:val="24"/>
          <w:u w:val="single"/>
          <w:lang w:val="kk-KZ"/>
        </w:rPr>
      </w:pPr>
      <w:r w:rsidRPr="00C473D3">
        <w:rPr>
          <w:rFonts w:ascii="Times New Roman" w:hAnsi="Times New Roman"/>
          <w:i/>
          <w:sz w:val="24"/>
          <w:szCs w:val="24"/>
          <w:u w:val="single"/>
          <w:lang w:val="kk-KZ"/>
        </w:rPr>
        <w:t xml:space="preserve">Клиникалық тиімділігі және қауіпсіздігі </w:t>
      </w:r>
    </w:p>
    <w:p w14:paraId="562E6108" w14:textId="77777777" w:rsidR="00127040" w:rsidRPr="005D4D1C" w:rsidRDefault="000A0115" w:rsidP="00127040">
      <w:pPr>
        <w:spacing w:after="0" w:line="20" w:lineRule="atLeast"/>
        <w:ind w:left="-5" w:right="7"/>
        <w:jc w:val="both"/>
        <w:rPr>
          <w:rFonts w:ascii="Times New Roman" w:hAnsi="Times New Roman"/>
          <w:i/>
          <w:sz w:val="24"/>
          <w:szCs w:val="24"/>
          <w:lang w:val="kk-KZ"/>
        </w:rPr>
      </w:pPr>
      <w:r w:rsidRPr="00C473D3">
        <w:rPr>
          <w:rFonts w:ascii="Times New Roman" w:hAnsi="Times New Roman"/>
          <w:i/>
          <w:iCs/>
          <w:sz w:val="24"/>
          <w:szCs w:val="24"/>
          <w:lang w:val="kk-KZ"/>
        </w:rPr>
        <w:t xml:space="preserve">Лапатиниб пен капецитабинді біріктіріп қолдану </w:t>
      </w:r>
    </w:p>
    <w:p w14:paraId="4C4D59A1"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Сүт безінің обыры бар пациенттерді емдеуде лапатинибті капецитабинмен бірге қолдану тиімділігі мен қауіпсіздігі III фазаның рандомизацияланған зерттеуінде бағаланды. Зерттеуге жіберілген пациенттерде таксандар, антрациклиндер және трастузумаб кіретін алдын ала емдеуден кейін үдемелі HER2 гиперэкспрессиясы бар  сүт безінің жергілікті таралған немесе метастатикалық обыры болды. Лапатинибпен емдеуді бастағанға дейін барлық пациенттерде (эхокардиографияны немесе радиоизотоптық вентрикулографияны (MUGA) пайдалана отырып) сол қарыншаның шығару фракциясының бастапқы мәні қалыпты шекте болуы үшін сол қарыншаның шығару фракциясы бағаланды. Клиникалық зерттеуде лапатинибпен емдеу кезінде сол жақ қарыншаның шығару фракциясы мәні қалыптың төменгі шегінен төмен болмауы үшін шамамен сегіз апта аралықпен бақыланды. Сол жақ қарыншаның шығару фракциясының төмендетілген мәндерінің көпшілігі (60%-дан астам жағдай) емдеудің алғашқы тоғыз аптасында байқалды, алайда ұзақ әсер етуге қатысты шектеулі деректер бар. </w:t>
      </w:r>
    </w:p>
    <w:p w14:paraId="4E745AA4" w14:textId="77777777" w:rsidR="00127040" w:rsidRPr="005D4D1C" w:rsidRDefault="000A0115" w:rsidP="00C12F16">
      <w:pPr>
        <w:spacing w:after="0" w:line="20" w:lineRule="atLeast"/>
        <w:ind w:left="-5" w:right="99"/>
        <w:jc w:val="both"/>
        <w:rPr>
          <w:rFonts w:ascii="Times New Roman" w:hAnsi="Times New Roman"/>
          <w:sz w:val="24"/>
          <w:szCs w:val="24"/>
          <w:lang w:val="kk-KZ"/>
        </w:rPr>
      </w:pPr>
      <w:r w:rsidRPr="00C473D3">
        <w:rPr>
          <w:rFonts w:ascii="Times New Roman" w:hAnsi="Times New Roman"/>
          <w:sz w:val="24"/>
          <w:szCs w:val="24"/>
          <w:lang w:val="kk-KZ"/>
        </w:rPr>
        <w:t>Пациенттерді кездейсоқ түрде лапатинибті күніне бір рет (тұрақты) 1250 мг дозада және капецитабинді (әрбір 21 күн сайын 1-14-күнде 2000 мг/м</w:t>
      </w:r>
      <w:r w:rsidRPr="00C473D3">
        <w:rPr>
          <w:rFonts w:ascii="Times New Roman" w:hAnsi="Times New Roman"/>
          <w:sz w:val="24"/>
          <w:szCs w:val="24"/>
          <w:vertAlign w:val="superscript"/>
          <w:lang w:val="kk-KZ"/>
        </w:rPr>
        <w:t>2</w:t>
      </w:r>
      <w:r w:rsidRPr="00C473D3">
        <w:rPr>
          <w:rFonts w:ascii="Times New Roman" w:hAnsi="Times New Roman"/>
          <w:sz w:val="24"/>
          <w:szCs w:val="24"/>
          <w:lang w:val="kk-KZ"/>
        </w:rPr>
        <w:t>/тәулігіне) немесе капецитабинді монотерапия ретінде (әрбір 21 күн сайын 1-14-күнде 2500 мг/м</w:t>
      </w:r>
      <w:r w:rsidRPr="00C473D3">
        <w:rPr>
          <w:rFonts w:ascii="Times New Roman" w:hAnsi="Times New Roman"/>
          <w:sz w:val="24"/>
          <w:szCs w:val="24"/>
          <w:vertAlign w:val="superscript"/>
          <w:lang w:val="kk-KZ"/>
        </w:rPr>
        <w:t>2</w:t>
      </w:r>
      <w:r w:rsidRPr="00C473D3">
        <w:rPr>
          <w:rFonts w:ascii="Times New Roman" w:hAnsi="Times New Roman"/>
          <w:sz w:val="24"/>
          <w:szCs w:val="24"/>
          <w:lang w:val="kk-KZ"/>
        </w:rPr>
        <w:t xml:space="preserve">/тәулігіне) алу үшін бөлді. Бастапқы соңғы нүкте прогрессияға дейінгі уақыт (ПДУ) болды. Бағалауды зерттеушілер мен тәуелсіз сарапшылар тобы жасырын зерттеуде жүргізді. Зерттеу алдын ала көрсетілген аралық талдау нәтижелері бойынша тоқтатылды, ол лапатинибті капецитабинмен бірілімде қабылдайтын пациенттер үшін ПДУ жақсарғанын көрсетті. Аралық талдау уақыты мен зерттеудің соңы арасындағы зерттеуге тағы 75 пациент қосылды. Зерттеу соңындағы деректер бойынша сарапшылардың талдауы 1-кестеде берілген. </w:t>
      </w:r>
    </w:p>
    <w:p w14:paraId="60C627A8" w14:textId="77777777" w:rsidR="00127040" w:rsidRPr="005D4D1C" w:rsidRDefault="000A0115" w:rsidP="004C01B6">
      <w:pPr>
        <w:spacing w:after="0" w:line="20" w:lineRule="atLeast"/>
        <w:ind w:left="-5" w:right="99"/>
        <w:rPr>
          <w:rFonts w:ascii="Times New Roman" w:hAnsi="Times New Roman"/>
          <w:b/>
          <w:sz w:val="24"/>
          <w:szCs w:val="24"/>
          <w:lang w:val="kk-KZ"/>
        </w:rPr>
      </w:pPr>
      <w:r w:rsidRPr="00C473D3">
        <w:rPr>
          <w:rFonts w:ascii="Times New Roman" w:hAnsi="Times New Roman"/>
          <w:b/>
          <w:bCs/>
          <w:sz w:val="24"/>
          <w:szCs w:val="24"/>
          <w:lang w:val="kk-KZ"/>
        </w:rPr>
        <w:t>1-кесте. EGF100151 (лапатиниб/капецитабин) зерттеуінен алынған прогрессияға дейінгі уақытқа қатысты деректер</w:t>
      </w:r>
    </w:p>
    <w:tbl>
      <w:tblPr>
        <w:tblW w:w="9074" w:type="dxa"/>
        <w:tblInd w:w="108" w:type="dxa"/>
        <w:tblCellMar>
          <w:top w:w="10" w:type="dxa"/>
          <w:right w:w="115" w:type="dxa"/>
        </w:tblCellMar>
        <w:tblLook w:val="04A0" w:firstRow="1" w:lastRow="0" w:firstColumn="1" w:lastColumn="0" w:noHBand="0" w:noVBand="1"/>
      </w:tblPr>
      <w:tblGrid>
        <w:gridCol w:w="2298"/>
        <w:gridCol w:w="3389"/>
        <w:gridCol w:w="3387"/>
      </w:tblGrid>
      <w:tr w:rsidR="00D77C3D" w14:paraId="5CB48CA4" w14:textId="77777777" w:rsidTr="00873FF7">
        <w:trPr>
          <w:trHeight w:val="340"/>
        </w:trPr>
        <w:tc>
          <w:tcPr>
            <w:tcW w:w="2298" w:type="dxa"/>
            <w:vMerge w:val="restart"/>
            <w:tcBorders>
              <w:top w:val="single" w:sz="4" w:space="0" w:color="000000"/>
              <w:left w:val="single" w:sz="4" w:space="0" w:color="000000"/>
              <w:bottom w:val="single" w:sz="8" w:space="0" w:color="000000"/>
              <w:right w:val="single" w:sz="8" w:space="0" w:color="000000"/>
            </w:tcBorders>
            <w:shd w:val="clear" w:color="auto" w:fill="auto"/>
          </w:tcPr>
          <w:p w14:paraId="2CEC4F52" w14:textId="77777777" w:rsidR="00127040" w:rsidRPr="005D4D1C" w:rsidRDefault="000A0115" w:rsidP="00873FF7">
            <w:pPr>
              <w:spacing w:after="0" w:line="20" w:lineRule="atLeast"/>
              <w:jc w:val="both"/>
              <w:rPr>
                <w:rFonts w:ascii="Times New Roman" w:eastAsia="Times New Roman" w:hAnsi="Times New Roman"/>
                <w:sz w:val="24"/>
                <w:szCs w:val="24"/>
                <w:lang w:val="kk-KZ"/>
              </w:rPr>
            </w:pPr>
            <w:r w:rsidRPr="005D4D1C">
              <w:rPr>
                <w:rFonts w:ascii="Times New Roman" w:eastAsia="Times New Roman" w:hAnsi="Times New Roman"/>
                <w:b/>
                <w:bCs/>
                <w:sz w:val="24"/>
                <w:szCs w:val="24"/>
                <w:lang w:val="kk-KZ"/>
              </w:rPr>
              <w:t xml:space="preserve"> </w:t>
            </w:r>
          </w:p>
        </w:tc>
        <w:tc>
          <w:tcPr>
            <w:tcW w:w="3389" w:type="dxa"/>
            <w:tcBorders>
              <w:top w:val="single" w:sz="8" w:space="0" w:color="000000"/>
              <w:left w:val="single" w:sz="8" w:space="0" w:color="000000"/>
              <w:bottom w:val="single" w:sz="6" w:space="0" w:color="000000"/>
              <w:right w:val="nil"/>
            </w:tcBorders>
            <w:shd w:val="clear" w:color="auto" w:fill="auto"/>
          </w:tcPr>
          <w:p w14:paraId="00ABB6D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Сарапшының бағалауы </w:t>
            </w:r>
          </w:p>
        </w:tc>
        <w:tc>
          <w:tcPr>
            <w:tcW w:w="3387" w:type="dxa"/>
            <w:tcBorders>
              <w:top w:val="single" w:sz="8" w:space="0" w:color="000000"/>
              <w:left w:val="nil"/>
              <w:bottom w:val="single" w:sz="6" w:space="0" w:color="000000"/>
              <w:right w:val="single" w:sz="8" w:space="0" w:color="000000"/>
            </w:tcBorders>
            <w:shd w:val="clear" w:color="auto" w:fill="auto"/>
          </w:tcPr>
          <w:p w14:paraId="5692E6FE" w14:textId="77777777" w:rsidR="00127040" w:rsidRPr="00C473D3" w:rsidRDefault="00127040" w:rsidP="00873FF7">
            <w:pPr>
              <w:spacing w:after="0" w:line="20" w:lineRule="atLeast"/>
              <w:jc w:val="both"/>
              <w:rPr>
                <w:rFonts w:ascii="Times New Roman" w:eastAsia="Times New Roman" w:hAnsi="Times New Roman"/>
                <w:sz w:val="24"/>
                <w:szCs w:val="24"/>
              </w:rPr>
            </w:pPr>
          </w:p>
        </w:tc>
      </w:tr>
      <w:tr w:rsidR="00D77C3D" w14:paraId="46E07B80" w14:textId="77777777" w:rsidTr="00873FF7">
        <w:trPr>
          <w:trHeight w:val="780"/>
        </w:trPr>
        <w:tc>
          <w:tcPr>
            <w:tcW w:w="2298" w:type="dxa"/>
            <w:vMerge/>
            <w:tcBorders>
              <w:top w:val="nil"/>
              <w:left w:val="single" w:sz="4" w:space="0" w:color="000000"/>
              <w:bottom w:val="nil"/>
              <w:right w:val="single" w:sz="8" w:space="0" w:color="000000"/>
            </w:tcBorders>
            <w:shd w:val="clear" w:color="auto" w:fill="auto"/>
          </w:tcPr>
          <w:p w14:paraId="15846A3D" w14:textId="77777777" w:rsidR="00127040" w:rsidRPr="00C473D3" w:rsidRDefault="00127040" w:rsidP="00873FF7">
            <w:pPr>
              <w:spacing w:after="0" w:line="20" w:lineRule="atLeast"/>
              <w:jc w:val="both"/>
              <w:rPr>
                <w:rFonts w:ascii="Times New Roman" w:eastAsia="Times New Roman" w:hAnsi="Times New Roman"/>
                <w:sz w:val="24"/>
                <w:szCs w:val="24"/>
              </w:rPr>
            </w:pP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13EC66E7"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Лапатиниб (тәулігіне 1250 мг) + капецитабин (тәулігіне 2000 мг/м</w:t>
            </w:r>
            <w:r w:rsidRPr="00C473D3">
              <w:rPr>
                <w:rFonts w:ascii="Times New Roman" w:eastAsia="Times New Roman" w:hAnsi="Times New Roman"/>
                <w:b/>
                <w:bCs/>
                <w:sz w:val="24"/>
                <w:szCs w:val="24"/>
                <w:vertAlign w:val="superscript"/>
                <w:lang w:val="kk-KZ"/>
              </w:rPr>
              <w:t>2</w:t>
            </w:r>
            <w:r w:rsidRPr="00C473D3">
              <w:rPr>
                <w:rFonts w:ascii="Times New Roman" w:eastAsia="Times New Roman" w:hAnsi="Times New Roman"/>
                <w:b/>
                <w:bCs/>
                <w:sz w:val="24"/>
                <w:szCs w:val="24"/>
                <w:lang w:val="kk-KZ"/>
              </w:rPr>
              <w:t xml:space="preserve">, әрбір 21 күн сайын 1-14-күндері)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6F345CF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Капецитабин (2500 мг/м </w:t>
            </w:r>
            <w:r w:rsidRPr="00C473D3">
              <w:rPr>
                <w:rFonts w:ascii="Times New Roman" w:eastAsia="Times New Roman" w:hAnsi="Times New Roman"/>
                <w:b/>
                <w:bCs/>
                <w:sz w:val="24"/>
                <w:szCs w:val="24"/>
                <w:vertAlign w:val="superscript"/>
                <w:lang w:val="kk-KZ"/>
              </w:rPr>
              <w:t>2</w:t>
            </w:r>
            <w:r w:rsidRPr="00C473D3">
              <w:rPr>
                <w:rFonts w:ascii="Times New Roman" w:eastAsia="Times New Roman" w:hAnsi="Times New Roman"/>
                <w:b/>
                <w:bCs/>
                <w:sz w:val="24"/>
                <w:szCs w:val="24"/>
                <w:lang w:val="kk-KZ"/>
              </w:rPr>
              <w:t xml:space="preserve">/тәулік, әр 21 күн сайын 1-14-күндері) </w:t>
            </w:r>
          </w:p>
        </w:tc>
      </w:tr>
      <w:tr w:rsidR="00D77C3D" w14:paraId="3C5CB4E9" w14:textId="77777777" w:rsidTr="00873FF7">
        <w:trPr>
          <w:trHeight w:val="275"/>
        </w:trPr>
        <w:tc>
          <w:tcPr>
            <w:tcW w:w="2298" w:type="dxa"/>
            <w:vMerge/>
            <w:tcBorders>
              <w:top w:val="nil"/>
              <w:left w:val="single" w:sz="4" w:space="0" w:color="000000"/>
              <w:bottom w:val="single" w:sz="8" w:space="0" w:color="000000"/>
              <w:right w:val="single" w:sz="8" w:space="0" w:color="000000"/>
            </w:tcBorders>
            <w:shd w:val="clear" w:color="auto" w:fill="auto"/>
          </w:tcPr>
          <w:p w14:paraId="2CEEC7D3" w14:textId="77777777" w:rsidR="00127040" w:rsidRPr="00C473D3" w:rsidRDefault="00127040" w:rsidP="00873FF7">
            <w:pPr>
              <w:spacing w:after="0" w:line="20" w:lineRule="atLeast"/>
              <w:jc w:val="both"/>
              <w:rPr>
                <w:rFonts w:ascii="Times New Roman" w:eastAsia="Times New Roman" w:hAnsi="Times New Roman"/>
                <w:sz w:val="24"/>
                <w:szCs w:val="24"/>
              </w:rPr>
            </w:pP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5F74B9D3"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198)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1C09BB21"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201) </w:t>
            </w:r>
          </w:p>
        </w:tc>
      </w:tr>
      <w:tr w:rsidR="00D77C3D" w14:paraId="5011ABA0" w14:textId="77777777" w:rsidTr="00873FF7">
        <w:trPr>
          <w:trHeight w:val="272"/>
        </w:trPr>
        <w:tc>
          <w:tcPr>
            <w:tcW w:w="2298" w:type="dxa"/>
            <w:tcBorders>
              <w:top w:val="single" w:sz="8" w:space="0" w:color="000000"/>
              <w:left w:val="single" w:sz="8" w:space="0" w:color="000000"/>
              <w:bottom w:val="single" w:sz="6" w:space="0" w:color="000000"/>
              <w:right w:val="single" w:sz="8" w:space="0" w:color="000000"/>
            </w:tcBorders>
            <w:shd w:val="clear" w:color="auto" w:fill="auto"/>
          </w:tcPr>
          <w:p w14:paraId="4B9512E7"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ПДУ саны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310313F7"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121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5E21C1B8"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126 </w:t>
            </w:r>
          </w:p>
        </w:tc>
      </w:tr>
      <w:tr w:rsidR="00D77C3D" w14:paraId="3D0839CD" w14:textId="77777777" w:rsidTr="00873FF7">
        <w:trPr>
          <w:trHeight w:val="266"/>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50F1F5A9"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ПДУ апталарының орташа саны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6D6A3AB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23,9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1F5C8FE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18,3 </w:t>
            </w:r>
          </w:p>
        </w:tc>
      </w:tr>
      <w:tr w:rsidR="00D77C3D" w14:paraId="471B5D37" w14:textId="77777777" w:rsidTr="00873FF7">
        <w:trPr>
          <w:trHeight w:val="269"/>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7F9E3480" w14:textId="77777777" w:rsidR="00127040" w:rsidRPr="00C473D3" w:rsidRDefault="000A0115" w:rsidP="00873FF7">
            <w:pPr>
              <w:tabs>
                <w:tab w:val="center" w:pos="858"/>
              </w:tabs>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lastRenderedPageBreak/>
              <w:t xml:space="preserve">Тәуекелдердің арақатынасы  </w:t>
            </w:r>
          </w:p>
        </w:tc>
        <w:tc>
          <w:tcPr>
            <w:tcW w:w="3389" w:type="dxa"/>
            <w:tcBorders>
              <w:top w:val="single" w:sz="6" w:space="0" w:color="000000"/>
              <w:left w:val="single" w:sz="8" w:space="0" w:color="000000"/>
              <w:bottom w:val="single" w:sz="6" w:space="0" w:color="000000"/>
              <w:right w:val="nil"/>
            </w:tcBorders>
            <w:shd w:val="clear" w:color="auto" w:fill="auto"/>
          </w:tcPr>
          <w:p w14:paraId="73511A31"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0,72 </w:t>
            </w:r>
          </w:p>
        </w:tc>
        <w:tc>
          <w:tcPr>
            <w:tcW w:w="3387" w:type="dxa"/>
            <w:tcBorders>
              <w:top w:val="single" w:sz="6" w:space="0" w:color="000000"/>
              <w:left w:val="nil"/>
              <w:bottom w:val="single" w:sz="6" w:space="0" w:color="000000"/>
              <w:right w:val="single" w:sz="8" w:space="0" w:color="000000"/>
            </w:tcBorders>
            <w:shd w:val="clear" w:color="auto" w:fill="auto"/>
          </w:tcPr>
          <w:p w14:paraId="0966C835" w14:textId="77777777" w:rsidR="00127040" w:rsidRPr="00C473D3" w:rsidRDefault="00127040" w:rsidP="00873FF7">
            <w:pPr>
              <w:spacing w:after="0" w:line="20" w:lineRule="atLeast"/>
              <w:jc w:val="both"/>
              <w:rPr>
                <w:rFonts w:ascii="Times New Roman" w:eastAsia="Times New Roman" w:hAnsi="Times New Roman"/>
                <w:sz w:val="24"/>
                <w:szCs w:val="24"/>
              </w:rPr>
            </w:pPr>
          </w:p>
        </w:tc>
      </w:tr>
      <w:tr w:rsidR="00D77C3D" w14:paraId="5899257D" w14:textId="77777777" w:rsidTr="00873FF7">
        <w:trPr>
          <w:trHeight w:val="266"/>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7FD3D726" w14:textId="77777777" w:rsidR="00127040" w:rsidRPr="00C473D3" w:rsidRDefault="000A0115" w:rsidP="00873FF7">
            <w:pPr>
              <w:tabs>
                <w:tab w:val="center" w:pos="274"/>
                <w:tab w:val="center" w:pos="958"/>
              </w:tabs>
              <w:spacing w:after="0" w:line="20" w:lineRule="atLeast"/>
              <w:rPr>
                <w:rFonts w:ascii="Times New Roman" w:eastAsia="Times New Roman" w:hAnsi="Times New Roman"/>
                <w:sz w:val="24"/>
                <w:szCs w:val="24"/>
              </w:rPr>
            </w:pPr>
            <w:r w:rsidRPr="00C473D3">
              <w:rPr>
                <w:rFonts w:ascii="Times New Roman" w:eastAsia="Times New Roman" w:hAnsi="Times New Roman"/>
                <w:sz w:val="24"/>
                <w:szCs w:val="24"/>
                <w:lang w:val="kk-KZ"/>
              </w:rPr>
              <w:tab/>
              <w:t xml:space="preserve">(95 % CI) </w:t>
            </w:r>
          </w:p>
        </w:tc>
        <w:tc>
          <w:tcPr>
            <w:tcW w:w="3389" w:type="dxa"/>
            <w:tcBorders>
              <w:top w:val="single" w:sz="6" w:space="0" w:color="000000"/>
              <w:left w:val="single" w:sz="8" w:space="0" w:color="000000"/>
              <w:bottom w:val="single" w:sz="6" w:space="0" w:color="000000"/>
              <w:right w:val="nil"/>
            </w:tcBorders>
            <w:shd w:val="clear" w:color="auto" w:fill="auto"/>
          </w:tcPr>
          <w:p w14:paraId="7CF1DAA4"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(0,56, 0,92) </w:t>
            </w:r>
          </w:p>
        </w:tc>
        <w:tc>
          <w:tcPr>
            <w:tcW w:w="3387" w:type="dxa"/>
            <w:tcBorders>
              <w:top w:val="single" w:sz="6" w:space="0" w:color="000000"/>
              <w:left w:val="nil"/>
              <w:bottom w:val="single" w:sz="6" w:space="0" w:color="000000"/>
              <w:right w:val="single" w:sz="8" w:space="0" w:color="000000"/>
            </w:tcBorders>
            <w:shd w:val="clear" w:color="auto" w:fill="auto"/>
          </w:tcPr>
          <w:p w14:paraId="655DBFEF" w14:textId="77777777" w:rsidR="00127040" w:rsidRPr="00C473D3" w:rsidRDefault="00127040" w:rsidP="00873FF7">
            <w:pPr>
              <w:spacing w:after="0" w:line="20" w:lineRule="atLeast"/>
              <w:jc w:val="both"/>
              <w:rPr>
                <w:rFonts w:ascii="Times New Roman" w:eastAsia="Times New Roman" w:hAnsi="Times New Roman"/>
                <w:sz w:val="24"/>
                <w:szCs w:val="24"/>
              </w:rPr>
            </w:pPr>
          </w:p>
        </w:tc>
      </w:tr>
      <w:tr w:rsidR="00D77C3D" w14:paraId="3FD363D4" w14:textId="77777777" w:rsidTr="00873FF7">
        <w:trPr>
          <w:trHeight w:val="271"/>
        </w:trPr>
        <w:tc>
          <w:tcPr>
            <w:tcW w:w="2298" w:type="dxa"/>
            <w:tcBorders>
              <w:top w:val="single" w:sz="6" w:space="0" w:color="000000"/>
              <w:left w:val="single" w:sz="8" w:space="0" w:color="000000"/>
              <w:bottom w:val="single" w:sz="8" w:space="0" w:color="000000"/>
              <w:right w:val="single" w:sz="8" w:space="0" w:color="000000"/>
            </w:tcBorders>
            <w:shd w:val="clear" w:color="auto" w:fill="auto"/>
          </w:tcPr>
          <w:p w14:paraId="06401B4F" w14:textId="77777777" w:rsidR="00127040" w:rsidRPr="00C473D3" w:rsidRDefault="000A0115" w:rsidP="00873FF7">
            <w:pPr>
              <w:tabs>
                <w:tab w:val="center" w:pos="274"/>
                <w:tab w:val="center" w:pos="868"/>
              </w:tabs>
              <w:spacing w:after="0" w:line="20" w:lineRule="atLeast"/>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P мәні </w:t>
            </w:r>
          </w:p>
        </w:tc>
        <w:tc>
          <w:tcPr>
            <w:tcW w:w="3389" w:type="dxa"/>
            <w:tcBorders>
              <w:top w:val="single" w:sz="6" w:space="0" w:color="000000"/>
              <w:left w:val="single" w:sz="8" w:space="0" w:color="000000"/>
              <w:bottom w:val="single" w:sz="6" w:space="0" w:color="000000"/>
              <w:right w:val="nil"/>
            </w:tcBorders>
            <w:shd w:val="clear" w:color="auto" w:fill="auto"/>
          </w:tcPr>
          <w:p w14:paraId="64645294"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0,008 </w:t>
            </w:r>
          </w:p>
        </w:tc>
        <w:tc>
          <w:tcPr>
            <w:tcW w:w="3387" w:type="dxa"/>
            <w:tcBorders>
              <w:top w:val="single" w:sz="6" w:space="0" w:color="000000"/>
              <w:left w:val="nil"/>
              <w:bottom w:val="single" w:sz="6" w:space="0" w:color="000000"/>
              <w:right w:val="single" w:sz="8" w:space="0" w:color="000000"/>
            </w:tcBorders>
            <w:shd w:val="clear" w:color="auto" w:fill="auto"/>
          </w:tcPr>
          <w:p w14:paraId="77C0F066" w14:textId="77777777" w:rsidR="00127040" w:rsidRPr="00C473D3" w:rsidRDefault="00127040" w:rsidP="00873FF7">
            <w:pPr>
              <w:spacing w:after="0" w:line="20" w:lineRule="atLeast"/>
              <w:jc w:val="both"/>
              <w:rPr>
                <w:rFonts w:ascii="Times New Roman" w:eastAsia="Times New Roman" w:hAnsi="Times New Roman"/>
                <w:sz w:val="24"/>
                <w:szCs w:val="24"/>
              </w:rPr>
            </w:pPr>
          </w:p>
        </w:tc>
      </w:tr>
    </w:tbl>
    <w:p w14:paraId="2BA98FB6" w14:textId="77777777" w:rsidR="00127040" w:rsidRPr="00C473D3" w:rsidRDefault="000A0115" w:rsidP="0042603B">
      <w:pPr>
        <w:spacing w:after="0" w:line="20" w:lineRule="atLeast"/>
        <w:ind w:right="7"/>
        <w:jc w:val="both"/>
        <w:rPr>
          <w:rFonts w:ascii="Times New Roman" w:hAnsi="Times New Roman"/>
          <w:sz w:val="24"/>
          <w:szCs w:val="24"/>
        </w:rPr>
      </w:pPr>
      <w:r w:rsidRPr="00C473D3">
        <w:rPr>
          <w:rFonts w:ascii="Times New Roman" w:hAnsi="Times New Roman"/>
          <w:sz w:val="24"/>
          <w:szCs w:val="24"/>
          <w:lang w:val="kk-KZ"/>
        </w:rPr>
        <w:t xml:space="preserve">Деректерді тәуелсіз бағалау сонымен қатар лапатиниб капецитабинмен үйлесімде монотерапия ретінде капецитабинмен салыстырғанда прогрессияға дейінгі уақытты едәуір арттыратынын көрсетті (тәуекелдер қатынасы 0,57 [95% CI 0,43, 0,77] р = 0,0001). </w:t>
      </w:r>
    </w:p>
    <w:p w14:paraId="22FB0ED6" w14:textId="77777777" w:rsidR="00127040" w:rsidRPr="00C473D3" w:rsidRDefault="000A0115" w:rsidP="0042603B">
      <w:pPr>
        <w:spacing w:after="0" w:line="20" w:lineRule="atLeast"/>
        <w:ind w:left="-5" w:right="7"/>
        <w:jc w:val="both"/>
        <w:rPr>
          <w:rFonts w:ascii="Times New Roman" w:hAnsi="Times New Roman"/>
          <w:sz w:val="24"/>
          <w:szCs w:val="24"/>
          <w:lang w:val="ru"/>
        </w:rPr>
      </w:pPr>
      <w:r w:rsidRPr="00C473D3">
        <w:rPr>
          <w:rFonts w:ascii="Times New Roman" w:hAnsi="Times New Roman"/>
          <w:sz w:val="24"/>
          <w:szCs w:val="24"/>
          <w:lang w:val="kk-KZ"/>
        </w:rPr>
        <w:t xml:space="preserve">2007 жылғы 28 қыркүйектегі жағдай бойынша жалпы тірі қалу деректерінің жаңартылған талдау нәтижелері 2-кестеде берілген. </w:t>
      </w:r>
    </w:p>
    <w:p w14:paraId="1474F9CB" w14:textId="323440D6" w:rsidR="00127040" w:rsidRPr="00C473D3" w:rsidRDefault="000A0115" w:rsidP="00930188">
      <w:pPr>
        <w:spacing w:after="0" w:line="20" w:lineRule="atLeast"/>
        <w:ind w:left="-5" w:right="7"/>
        <w:jc w:val="both"/>
        <w:rPr>
          <w:rFonts w:ascii="Times New Roman" w:hAnsi="Times New Roman"/>
          <w:b/>
          <w:sz w:val="24"/>
          <w:szCs w:val="24"/>
          <w:lang w:val="ru"/>
        </w:rPr>
      </w:pPr>
      <w:r w:rsidRPr="00C473D3">
        <w:rPr>
          <w:rFonts w:ascii="Times New Roman" w:hAnsi="Times New Roman"/>
          <w:b/>
          <w:bCs/>
          <w:sz w:val="24"/>
          <w:szCs w:val="24"/>
          <w:lang w:val="kk-KZ"/>
        </w:rPr>
        <w:t>2-кесте</w:t>
      </w:r>
      <w:r w:rsidR="00930188">
        <w:rPr>
          <w:rFonts w:ascii="Times New Roman" w:hAnsi="Times New Roman"/>
          <w:b/>
          <w:bCs/>
          <w:sz w:val="24"/>
          <w:szCs w:val="24"/>
          <w:lang w:val="kk-KZ"/>
        </w:rPr>
        <w:t xml:space="preserve">. </w:t>
      </w:r>
      <w:r w:rsidRPr="00C473D3">
        <w:rPr>
          <w:rFonts w:ascii="Times New Roman" w:hAnsi="Times New Roman"/>
          <w:b/>
          <w:bCs/>
          <w:sz w:val="24"/>
          <w:szCs w:val="24"/>
          <w:lang w:val="kk-KZ"/>
        </w:rPr>
        <w:t>EGF100151 (лапатиниб/капецитабин) зерттеуінен алынған жалпы тірі қалу деректері</w:t>
      </w:r>
    </w:p>
    <w:tbl>
      <w:tblPr>
        <w:tblW w:w="9074" w:type="dxa"/>
        <w:tblInd w:w="108" w:type="dxa"/>
        <w:tblCellMar>
          <w:top w:w="10" w:type="dxa"/>
          <w:right w:w="115" w:type="dxa"/>
        </w:tblCellMar>
        <w:tblLook w:val="04A0" w:firstRow="1" w:lastRow="0" w:firstColumn="1" w:lastColumn="0" w:noHBand="0" w:noVBand="1"/>
      </w:tblPr>
      <w:tblGrid>
        <w:gridCol w:w="2298"/>
        <w:gridCol w:w="3389"/>
        <w:gridCol w:w="3387"/>
      </w:tblGrid>
      <w:tr w:rsidR="00D77C3D" w14:paraId="2B460DF8" w14:textId="77777777" w:rsidTr="00873FF7">
        <w:trPr>
          <w:trHeight w:val="773"/>
        </w:trPr>
        <w:tc>
          <w:tcPr>
            <w:tcW w:w="2298" w:type="dxa"/>
            <w:vMerge w:val="restart"/>
            <w:tcBorders>
              <w:top w:val="single" w:sz="4" w:space="0" w:color="000000"/>
              <w:left w:val="single" w:sz="4" w:space="0" w:color="000000"/>
              <w:bottom w:val="single" w:sz="8" w:space="0" w:color="000000"/>
              <w:right w:val="single" w:sz="8" w:space="0" w:color="000000"/>
            </w:tcBorders>
            <w:shd w:val="clear" w:color="auto" w:fill="auto"/>
          </w:tcPr>
          <w:p w14:paraId="669F904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ru"/>
              </w:rPr>
              <w:t xml:space="preserve">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126DC73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Лапатиниб (тәулігіне 1250 мг) + капецитабин (тәулігіне 2000 мг/м</w:t>
            </w:r>
            <w:r w:rsidRPr="00C473D3">
              <w:rPr>
                <w:rFonts w:ascii="Times New Roman" w:eastAsia="Times New Roman" w:hAnsi="Times New Roman"/>
                <w:b/>
                <w:bCs/>
                <w:sz w:val="24"/>
                <w:szCs w:val="24"/>
                <w:vertAlign w:val="superscript"/>
                <w:lang w:val="kk-KZ"/>
              </w:rPr>
              <w:t>2</w:t>
            </w:r>
            <w:r w:rsidRPr="00C473D3">
              <w:rPr>
                <w:rFonts w:ascii="Times New Roman" w:eastAsia="Times New Roman" w:hAnsi="Times New Roman"/>
                <w:b/>
                <w:bCs/>
                <w:sz w:val="24"/>
                <w:szCs w:val="24"/>
                <w:lang w:val="kk-KZ"/>
              </w:rPr>
              <w:t xml:space="preserve">, әрбір 21 күн сайын 1-14-күндері)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1881166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Капецитабин (2500 мг/м </w:t>
            </w:r>
            <w:r w:rsidRPr="00C473D3">
              <w:rPr>
                <w:rFonts w:ascii="Times New Roman" w:eastAsia="Times New Roman" w:hAnsi="Times New Roman"/>
                <w:b/>
                <w:bCs/>
                <w:sz w:val="24"/>
                <w:szCs w:val="24"/>
                <w:vertAlign w:val="superscript"/>
                <w:lang w:val="kk-KZ"/>
              </w:rPr>
              <w:t>2</w:t>
            </w:r>
            <w:r w:rsidRPr="00C473D3">
              <w:rPr>
                <w:rFonts w:ascii="Times New Roman" w:eastAsia="Times New Roman" w:hAnsi="Times New Roman"/>
                <w:b/>
                <w:bCs/>
                <w:sz w:val="24"/>
                <w:szCs w:val="24"/>
                <w:lang w:val="kk-KZ"/>
              </w:rPr>
              <w:t xml:space="preserve">/тәулік, әр 21 күн сайын 1-14-күндері) </w:t>
            </w:r>
          </w:p>
        </w:tc>
      </w:tr>
      <w:tr w:rsidR="00D77C3D" w14:paraId="37062028" w14:textId="77777777" w:rsidTr="00873FF7">
        <w:trPr>
          <w:trHeight w:val="275"/>
        </w:trPr>
        <w:tc>
          <w:tcPr>
            <w:tcW w:w="2298" w:type="dxa"/>
            <w:vMerge/>
            <w:tcBorders>
              <w:top w:val="nil"/>
              <w:left w:val="single" w:sz="4" w:space="0" w:color="000000"/>
              <w:bottom w:val="single" w:sz="8" w:space="0" w:color="000000"/>
              <w:right w:val="single" w:sz="8" w:space="0" w:color="000000"/>
            </w:tcBorders>
            <w:shd w:val="clear" w:color="auto" w:fill="auto"/>
          </w:tcPr>
          <w:p w14:paraId="3992A9AD" w14:textId="77777777" w:rsidR="00127040" w:rsidRPr="00C473D3" w:rsidRDefault="00127040" w:rsidP="00873FF7">
            <w:pPr>
              <w:spacing w:after="0" w:line="20" w:lineRule="atLeast"/>
              <w:jc w:val="both"/>
              <w:rPr>
                <w:rFonts w:ascii="Times New Roman" w:eastAsia="Times New Roman" w:hAnsi="Times New Roman"/>
                <w:sz w:val="24"/>
                <w:szCs w:val="24"/>
              </w:rPr>
            </w:pP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4A842FB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207)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4C2809A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201) </w:t>
            </w:r>
          </w:p>
        </w:tc>
      </w:tr>
      <w:tr w:rsidR="00D77C3D" w14:paraId="3F0AE03D" w14:textId="77777777" w:rsidTr="00873FF7">
        <w:trPr>
          <w:trHeight w:val="524"/>
        </w:trPr>
        <w:tc>
          <w:tcPr>
            <w:tcW w:w="2298" w:type="dxa"/>
            <w:tcBorders>
              <w:top w:val="single" w:sz="8" w:space="0" w:color="000000"/>
              <w:left w:val="single" w:sz="8" w:space="0" w:color="000000"/>
              <w:bottom w:val="single" w:sz="6" w:space="0" w:color="000000"/>
              <w:right w:val="single" w:sz="8" w:space="0" w:color="000000"/>
            </w:tcBorders>
            <w:shd w:val="clear" w:color="auto" w:fill="auto"/>
          </w:tcPr>
          <w:p w14:paraId="010C80F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Қайтыс болған пациенттердің саны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57BD374F"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148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10FFC3E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154 </w:t>
            </w:r>
          </w:p>
        </w:tc>
      </w:tr>
      <w:tr w:rsidR="00D77C3D" w14:paraId="5DC6C3CF" w14:textId="77777777" w:rsidTr="00873FF7">
        <w:trPr>
          <w:trHeight w:val="521"/>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1F4958E8"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Жалпы тірі қалудың орташа мәні, апта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5BE48077"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74,0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68213A4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65,9 </w:t>
            </w:r>
          </w:p>
        </w:tc>
      </w:tr>
      <w:tr w:rsidR="00D77C3D" w14:paraId="1ECCF4A3" w14:textId="77777777" w:rsidTr="00873FF7">
        <w:trPr>
          <w:trHeight w:val="269"/>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2D52D79C" w14:textId="77777777" w:rsidR="00127040" w:rsidRPr="00C473D3" w:rsidRDefault="000A0115" w:rsidP="00873FF7">
            <w:pPr>
              <w:tabs>
                <w:tab w:val="center" w:pos="858"/>
              </w:tabs>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 Тәуекелдердің арақатынасы  </w:t>
            </w:r>
          </w:p>
        </w:tc>
        <w:tc>
          <w:tcPr>
            <w:tcW w:w="3389" w:type="dxa"/>
            <w:tcBorders>
              <w:top w:val="single" w:sz="6" w:space="0" w:color="000000"/>
              <w:left w:val="single" w:sz="8" w:space="0" w:color="000000"/>
              <w:bottom w:val="single" w:sz="6" w:space="0" w:color="000000"/>
              <w:right w:val="nil"/>
            </w:tcBorders>
            <w:shd w:val="clear" w:color="auto" w:fill="auto"/>
          </w:tcPr>
          <w:p w14:paraId="5E26355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0,9 </w:t>
            </w:r>
          </w:p>
        </w:tc>
        <w:tc>
          <w:tcPr>
            <w:tcW w:w="3387" w:type="dxa"/>
            <w:tcBorders>
              <w:top w:val="single" w:sz="6" w:space="0" w:color="000000"/>
              <w:left w:val="nil"/>
              <w:bottom w:val="single" w:sz="6" w:space="0" w:color="000000"/>
              <w:right w:val="single" w:sz="8" w:space="0" w:color="000000"/>
            </w:tcBorders>
            <w:shd w:val="clear" w:color="auto" w:fill="auto"/>
          </w:tcPr>
          <w:p w14:paraId="7ADA2BBD" w14:textId="77777777" w:rsidR="00127040" w:rsidRPr="00C473D3" w:rsidRDefault="00127040" w:rsidP="00873FF7">
            <w:pPr>
              <w:spacing w:after="0" w:line="20" w:lineRule="atLeast"/>
              <w:jc w:val="both"/>
              <w:rPr>
                <w:rFonts w:ascii="Times New Roman" w:eastAsia="Times New Roman" w:hAnsi="Times New Roman"/>
                <w:sz w:val="24"/>
                <w:szCs w:val="24"/>
              </w:rPr>
            </w:pPr>
          </w:p>
        </w:tc>
      </w:tr>
      <w:tr w:rsidR="00D77C3D" w14:paraId="1254CFC8" w14:textId="77777777" w:rsidTr="00873FF7">
        <w:trPr>
          <w:trHeight w:val="266"/>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37D1D82C" w14:textId="77777777" w:rsidR="00127040" w:rsidRPr="00C473D3" w:rsidRDefault="000A0115" w:rsidP="00873FF7">
            <w:pPr>
              <w:tabs>
                <w:tab w:val="center" w:pos="685"/>
              </w:tabs>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 (95% CI) </w:t>
            </w:r>
          </w:p>
        </w:tc>
        <w:tc>
          <w:tcPr>
            <w:tcW w:w="3389" w:type="dxa"/>
            <w:tcBorders>
              <w:top w:val="single" w:sz="6" w:space="0" w:color="000000"/>
              <w:left w:val="single" w:sz="8" w:space="0" w:color="000000"/>
              <w:bottom w:val="single" w:sz="6" w:space="0" w:color="000000"/>
              <w:right w:val="nil"/>
            </w:tcBorders>
            <w:shd w:val="clear" w:color="auto" w:fill="auto"/>
          </w:tcPr>
          <w:p w14:paraId="085EEA5A"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(0,71, 1,12) </w:t>
            </w:r>
          </w:p>
        </w:tc>
        <w:tc>
          <w:tcPr>
            <w:tcW w:w="3387" w:type="dxa"/>
            <w:tcBorders>
              <w:top w:val="single" w:sz="6" w:space="0" w:color="000000"/>
              <w:left w:val="nil"/>
              <w:bottom w:val="single" w:sz="6" w:space="0" w:color="000000"/>
              <w:right w:val="single" w:sz="8" w:space="0" w:color="000000"/>
            </w:tcBorders>
            <w:shd w:val="clear" w:color="auto" w:fill="auto"/>
          </w:tcPr>
          <w:p w14:paraId="3C51346B" w14:textId="77777777" w:rsidR="00127040" w:rsidRPr="00C473D3" w:rsidRDefault="00127040" w:rsidP="00873FF7">
            <w:pPr>
              <w:spacing w:after="0" w:line="20" w:lineRule="atLeast"/>
              <w:jc w:val="both"/>
              <w:rPr>
                <w:rFonts w:ascii="Times New Roman" w:eastAsia="Times New Roman" w:hAnsi="Times New Roman"/>
                <w:sz w:val="24"/>
                <w:szCs w:val="24"/>
              </w:rPr>
            </w:pPr>
          </w:p>
        </w:tc>
      </w:tr>
      <w:tr w:rsidR="00D77C3D" w14:paraId="17438EEF" w14:textId="77777777" w:rsidTr="00873FF7">
        <w:trPr>
          <w:trHeight w:val="271"/>
        </w:trPr>
        <w:tc>
          <w:tcPr>
            <w:tcW w:w="2298" w:type="dxa"/>
            <w:tcBorders>
              <w:top w:val="single" w:sz="6" w:space="0" w:color="000000"/>
              <w:left w:val="single" w:sz="8" w:space="0" w:color="000000"/>
              <w:bottom w:val="single" w:sz="8" w:space="0" w:color="000000"/>
              <w:right w:val="single" w:sz="8" w:space="0" w:color="000000"/>
            </w:tcBorders>
            <w:shd w:val="clear" w:color="auto" w:fill="auto"/>
          </w:tcPr>
          <w:p w14:paraId="5AB3D624" w14:textId="19A819E7" w:rsidR="00127040" w:rsidRPr="00C473D3" w:rsidRDefault="000A0115" w:rsidP="00873FF7">
            <w:pPr>
              <w:tabs>
                <w:tab w:val="center" w:pos="595"/>
              </w:tabs>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 P мәні </w:t>
            </w:r>
          </w:p>
        </w:tc>
        <w:tc>
          <w:tcPr>
            <w:tcW w:w="3389" w:type="dxa"/>
            <w:tcBorders>
              <w:top w:val="single" w:sz="6" w:space="0" w:color="000000"/>
              <w:left w:val="single" w:sz="8" w:space="0" w:color="000000"/>
              <w:bottom w:val="single" w:sz="6" w:space="0" w:color="000000"/>
              <w:right w:val="nil"/>
            </w:tcBorders>
            <w:shd w:val="clear" w:color="auto" w:fill="auto"/>
          </w:tcPr>
          <w:p w14:paraId="402AFC8B"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0,3 </w:t>
            </w:r>
          </w:p>
        </w:tc>
        <w:tc>
          <w:tcPr>
            <w:tcW w:w="3387" w:type="dxa"/>
            <w:tcBorders>
              <w:top w:val="single" w:sz="6" w:space="0" w:color="000000"/>
              <w:left w:val="nil"/>
              <w:bottom w:val="single" w:sz="6" w:space="0" w:color="000000"/>
              <w:right w:val="single" w:sz="8" w:space="0" w:color="000000"/>
            </w:tcBorders>
            <w:shd w:val="clear" w:color="auto" w:fill="auto"/>
          </w:tcPr>
          <w:p w14:paraId="4C2735B0" w14:textId="77777777" w:rsidR="00127040" w:rsidRPr="00C473D3" w:rsidRDefault="00127040" w:rsidP="00873FF7">
            <w:pPr>
              <w:spacing w:after="0" w:line="20" w:lineRule="atLeast"/>
              <w:jc w:val="both"/>
              <w:rPr>
                <w:rFonts w:ascii="Times New Roman" w:eastAsia="Times New Roman" w:hAnsi="Times New Roman"/>
                <w:sz w:val="24"/>
                <w:szCs w:val="24"/>
              </w:rPr>
            </w:pPr>
          </w:p>
        </w:tc>
      </w:tr>
    </w:tbl>
    <w:p w14:paraId="15CF332E" w14:textId="77777777" w:rsidR="00127040" w:rsidRPr="00C473D3" w:rsidRDefault="000A0115" w:rsidP="003D2154">
      <w:pPr>
        <w:spacing w:after="0" w:line="20" w:lineRule="atLeast"/>
        <w:ind w:right="7"/>
        <w:jc w:val="both"/>
        <w:rPr>
          <w:rFonts w:ascii="Times New Roman" w:hAnsi="Times New Roman"/>
          <w:sz w:val="24"/>
          <w:szCs w:val="24"/>
          <w:lang w:val="ru"/>
        </w:rPr>
      </w:pPr>
      <w:r w:rsidRPr="00C473D3">
        <w:rPr>
          <w:rFonts w:ascii="Times New Roman" w:hAnsi="Times New Roman"/>
          <w:sz w:val="24"/>
          <w:szCs w:val="24"/>
          <w:lang w:val="kk-KZ"/>
        </w:rPr>
        <w:t xml:space="preserve"> Біріктірілген емдеу тобында монотерапия ретінде капецитабин тобындағы прогрессияның 13 (6%) жағдайымен салыстырғанда орталық жүйке жүйесі тарапынан прогрессияның 4 (2%) жағдайы туралы хабарланды. </w:t>
      </w:r>
    </w:p>
    <w:p w14:paraId="48EB22B5" w14:textId="77777777" w:rsidR="00C937F3" w:rsidRPr="005D4D1C" w:rsidRDefault="000A0115" w:rsidP="00C937F3">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Капецитабинмен комбинацияда трастузумабқа қатысты лапатинибтің капецитабинмен үйлесімдегі тиімділігі мен қауіпсіздігі туралы деректер бар. III фазаның рандомизацияланған зерттеуі туралы мәліметтер бар (EGF111438) (N = 540) сүт безінің HER2 метастатикалық обырының гиперэкспрессиясы бар әйелдерде алғашқы қайталану учаскесі ретінде екі емдеу сызбасының ОЖЖ ауруына әсеріне салыстыру жүргізілді. Пациенттерді кездейсоқ түрде мынадай топтарға бөлді: күніне бір рет (тұрақты) 1250 мг дозада лапатиниб плюс капецитабин (әрбір 21 күн сайын 1-14-күнде 2000 мг/м</w:t>
      </w:r>
      <w:r w:rsidRPr="00C473D3">
        <w:rPr>
          <w:rFonts w:ascii="Times New Roman" w:hAnsi="Times New Roman"/>
          <w:sz w:val="24"/>
          <w:szCs w:val="24"/>
          <w:vertAlign w:val="superscript"/>
          <w:lang w:val="kk-KZ"/>
        </w:rPr>
        <w:t>2</w:t>
      </w:r>
      <w:r w:rsidRPr="00C473D3">
        <w:rPr>
          <w:rFonts w:ascii="Times New Roman" w:hAnsi="Times New Roman"/>
          <w:sz w:val="24"/>
          <w:szCs w:val="24"/>
          <w:lang w:val="kk-KZ"/>
        </w:rPr>
        <w:t>/тәулік) немесе трастузумаб (әрбір 3 апта сайын инфузия түрінде 6 мг/кг кейінгі қабылдаумен 8 мг/кг жүктеме доза) плюс капецитабин (әрбір 21 күн сайын 1-14-күнде 2500 мг/м</w:t>
      </w:r>
      <w:r w:rsidRPr="00C473D3">
        <w:rPr>
          <w:rFonts w:ascii="Times New Roman" w:hAnsi="Times New Roman"/>
          <w:sz w:val="24"/>
          <w:szCs w:val="24"/>
          <w:vertAlign w:val="superscript"/>
          <w:lang w:val="kk-KZ"/>
        </w:rPr>
        <w:t>2</w:t>
      </w:r>
      <w:r w:rsidRPr="00C473D3">
        <w:rPr>
          <w:rFonts w:ascii="Times New Roman" w:hAnsi="Times New Roman"/>
          <w:sz w:val="24"/>
          <w:szCs w:val="24"/>
          <w:lang w:val="kk-KZ"/>
        </w:rPr>
        <w:t xml:space="preserve">/тәулік). Бөлу трастузумабпен алдын ала емдеуге және метастатикалық ауруды емдеудің бірқатар алдыңғы түрлеріне сәйкес жүргізілді. Зерттеу тоқтатылды, өйткені аралық талдау (N = 475) ОЖЖ тарапынан асқынулардың төмен деңгейін, сондай-ақ трастузумаб тобында капецитабинмен үйлесімде прогрессиясыз тірі қалуға және жалпы тірі қалуға қатысты жоғары тиімділікті көрсетті (3-кестедегі түпкілікті талдау нәтижелерін қараңыз). </w:t>
      </w:r>
    </w:p>
    <w:p w14:paraId="7F9F6007" w14:textId="77777777" w:rsidR="00C937F3" w:rsidRPr="005D4D1C" w:rsidRDefault="000A0115" w:rsidP="00C937F3">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Капецитабинмен үйлесімде лапатинибпен емдеу тобында 8 пациент (3,2%) капецитабинмен үйлесімде трастузумабпен емдеу тобындағы 12 пациентпен (4,8%) салыстырғанда бірінші прогрессия орны ретінде ОЖЖ тарапынан асқынуларды бастан кешірді. </w:t>
      </w:r>
    </w:p>
    <w:p w14:paraId="2033EA6D" w14:textId="77777777" w:rsidR="00C937F3" w:rsidRPr="005D4D1C" w:rsidRDefault="000A0115" w:rsidP="00C937F3">
      <w:pPr>
        <w:spacing w:after="0" w:line="20" w:lineRule="atLeast"/>
        <w:ind w:left="-5"/>
        <w:jc w:val="both"/>
        <w:rPr>
          <w:rFonts w:ascii="Times New Roman" w:hAnsi="Times New Roman"/>
          <w:sz w:val="24"/>
          <w:szCs w:val="24"/>
          <w:lang w:val="kk-KZ"/>
        </w:rPr>
      </w:pPr>
      <w:r w:rsidRPr="00C473D3">
        <w:rPr>
          <w:rFonts w:ascii="Times New Roman" w:hAnsi="Times New Roman"/>
          <w:i/>
          <w:iCs/>
          <w:sz w:val="24"/>
          <w:szCs w:val="24"/>
          <w:lang w:val="kk-KZ"/>
        </w:rPr>
        <w:t xml:space="preserve">Лапатинибтің ОЖЖ метастаздарына әсері </w:t>
      </w:r>
    </w:p>
    <w:p w14:paraId="02B51112" w14:textId="77777777" w:rsidR="00C937F3" w:rsidRPr="005D4D1C" w:rsidRDefault="000A0115" w:rsidP="00C06123">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Объективті жауаптар тұрғысынан лапатиниб ОЖЖ анықталған метастаздарын емдеуде қалыпты белсенділікті көрсетті. Сүт безінің метастатикалық және бастапқы обырында ОЖЖ метастаздарының профилактикасы кезінде анықталған белсенділік шектеулі болды. </w:t>
      </w:r>
    </w:p>
    <w:p w14:paraId="775C9F3A" w14:textId="77777777" w:rsidR="00C25238" w:rsidRPr="005D4D1C" w:rsidRDefault="000A0115" w:rsidP="00930188">
      <w:pPr>
        <w:spacing w:after="0" w:line="20" w:lineRule="atLeast"/>
        <w:ind w:right="7"/>
        <w:jc w:val="both"/>
        <w:rPr>
          <w:rFonts w:ascii="Times New Roman" w:hAnsi="Times New Roman"/>
          <w:b/>
          <w:bCs/>
          <w:sz w:val="24"/>
          <w:szCs w:val="24"/>
          <w:lang w:val="kk-KZ"/>
        </w:rPr>
      </w:pPr>
      <w:r w:rsidRPr="00C473D3">
        <w:rPr>
          <w:rFonts w:ascii="Times New Roman" w:hAnsi="Times New Roman"/>
          <w:b/>
          <w:bCs/>
          <w:sz w:val="24"/>
          <w:szCs w:val="24"/>
          <w:lang w:val="kk-KZ"/>
        </w:rPr>
        <w:lastRenderedPageBreak/>
        <w:t>3-кесте. Сарапшылардың бағалауы бойынша прогрессиясыз тірі қалу және жалпы</w:t>
      </w:r>
      <w:r w:rsidR="00B1393A">
        <w:rPr>
          <w:rFonts w:ascii="Times New Roman" w:hAnsi="Times New Roman"/>
          <w:b/>
          <w:bCs/>
          <w:sz w:val="24"/>
          <w:szCs w:val="24"/>
          <w:lang w:val="kk-KZ"/>
        </w:rPr>
        <w:t xml:space="preserve"> </w:t>
      </w:r>
      <w:r w:rsidRPr="00C473D3">
        <w:rPr>
          <w:rFonts w:ascii="Times New Roman" w:hAnsi="Times New Roman"/>
          <w:b/>
          <w:bCs/>
          <w:sz w:val="24"/>
          <w:szCs w:val="24"/>
          <w:lang w:val="kk-KZ"/>
        </w:rPr>
        <w:t>тірі қалу талдауы</w:t>
      </w:r>
    </w:p>
    <w:tbl>
      <w:tblPr>
        <w:tblpPr w:leftFromText="180" w:rightFromText="180" w:vertAnchor="text" w:horzAnchor="margin" w:tblpX="113" w:tblpY="743"/>
        <w:tblW w:w="9016" w:type="dxa"/>
        <w:tblLayout w:type="fixed"/>
        <w:tblCellMar>
          <w:top w:w="7" w:type="dxa"/>
          <w:left w:w="113" w:type="dxa"/>
          <w:bottom w:w="5" w:type="dxa"/>
          <w:right w:w="63" w:type="dxa"/>
        </w:tblCellMar>
        <w:tblLook w:val="04A0" w:firstRow="1" w:lastRow="0" w:firstColumn="1" w:lastColumn="0" w:noHBand="0" w:noVBand="1"/>
      </w:tblPr>
      <w:tblGrid>
        <w:gridCol w:w="2041"/>
        <w:gridCol w:w="1928"/>
        <w:gridCol w:w="199"/>
        <w:gridCol w:w="1502"/>
        <w:gridCol w:w="1701"/>
        <w:gridCol w:w="1645"/>
      </w:tblGrid>
      <w:tr w:rsidR="00D77C3D" w14:paraId="0B690E8C" w14:textId="77777777" w:rsidTr="00873FF7">
        <w:trPr>
          <w:trHeight w:val="262"/>
        </w:trPr>
        <w:tc>
          <w:tcPr>
            <w:tcW w:w="204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555D0C" w14:textId="77777777" w:rsidR="00127040" w:rsidRPr="005D4D1C" w:rsidRDefault="00127040" w:rsidP="00873FF7">
            <w:pPr>
              <w:spacing w:after="0" w:line="20" w:lineRule="atLeast"/>
              <w:ind w:left="2"/>
              <w:jc w:val="both"/>
              <w:rPr>
                <w:rFonts w:ascii="Times New Roman" w:eastAsia="Times New Roman" w:hAnsi="Times New Roman"/>
                <w:sz w:val="24"/>
                <w:szCs w:val="24"/>
                <w:lang w:val="kk-KZ"/>
              </w:rPr>
            </w:pPr>
          </w:p>
        </w:tc>
        <w:tc>
          <w:tcPr>
            <w:tcW w:w="3629" w:type="dxa"/>
            <w:gridSpan w:val="3"/>
            <w:tcBorders>
              <w:top w:val="single" w:sz="4" w:space="0" w:color="000000"/>
              <w:left w:val="single" w:sz="4" w:space="0" w:color="000000"/>
              <w:bottom w:val="single" w:sz="4" w:space="0" w:color="000000"/>
              <w:right w:val="single" w:sz="4" w:space="0" w:color="000000"/>
            </w:tcBorders>
            <w:shd w:val="clear" w:color="auto" w:fill="auto"/>
          </w:tcPr>
          <w:p w14:paraId="60DF7232" w14:textId="77777777" w:rsidR="00127040" w:rsidRPr="005D4D1C" w:rsidRDefault="000A0115" w:rsidP="00873FF7">
            <w:pPr>
              <w:spacing w:after="0" w:line="20" w:lineRule="atLeast"/>
              <w:ind w:right="58"/>
              <w:jc w:val="both"/>
              <w:rPr>
                <w:rFonts w:ascii="Times New Roman" w:eastAsia="Times New Roman" w:hAnsi="Times New Roman"/>
                <w:sz w:val="24"/>
                <w:szCs w:val="24"/>
                <w:lang w:val="kk-KZ"/>
              </w:rPr>
            </w:pPr>
            <w:r w:rsidRPr="00C473D3">
              <w:rPr>
                <w:rFonts w:ascii="Times New Roman" w:eastAsia="Times New Roman" w:hAnsi="Times New Roman"/>
                <w:b/>
                <w:bCs/>
                <w:sz w:val="24"/>
                <w:szCs w:val="24"/>
                <w:lang w:val="kk-KZ"/>
              </w:rPr>
              <w:t xml:space="preserve">Сарапшылардың бағалауы бойынша прогрессиясыз тірі қалу </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Pr>
          <w:p w14:paraId="772CC406"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Жалпы тірі қалуы </w:t>
            </w:r>
          </w:p>
        </w:tc>
      </w:tr>
      <w:tr w:rsidR="00D77C3D" w14:paraId="7AA11D7B" w14:textId="77777777" w:rsidTr="00EF3F2F">
        <w:trPr>
          <w:trHeight w:val="834"/>
        </w:trPr>
        <w:tc>
          <w:tcPr>
            <w:tcW w:w="2041" w:type="dxa"/>
            <w:vMerge/>
            <w:tcBorders>
              <w:top w:val="nil"/>
              <w:left w:val="single" w:sz="4" w:space="0" w:color="000000"/>
              <w:bottom w:val="single" w:sz="4" w:space="0" w:color="000000"/>
              <w:right w:val="single" w:sz="4" w:space="0" w:color="000000"/>
            </w:tcBorders>
            <w:shd w:val="clear" w:color="auto" w:fill="auto"/>
          </w:tcPr>
          <w:p w14:paraId="585FC7C8" w14:textId="77777777" w:rsidR="00127040" w:rsidRPr="00C473D3" w:rsidRDefault="00127040" w:rsidP="00873FF7">
            <w:pPr>
              <w:spacing w:after="0" w:line="20" w:lineRule="atLeast"/>
              <w:jc w:val="both"/>
              <w:rPr>
                <w:rFonts w:ascii="Times New Roman" w:eastAsia="Times New Roman" w:hAnsi="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D8022F6"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Лапатиниб (күніне 1,250 мг) + </w:t>
            </w:r>
          </w:p>
          <w:p w14:paraId="67CA395E"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капецитабин </w:t>
            </w:r>
          </w:p>
          <w:p w14:paraId="5407AAA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(тәулігіне 2000 мг / м</w:t>
            </w:r>
            <w:r w:rsidRPr="00C473D3">
              <w:rPr>
                <w:rFonts w:ascii="Times New Roman" w:eastAsia="Times New Roman" w:hAnsi="Times New Roman"/>
                <w:b/>
                <w:bCs/>
                <w:sz w:val="24"/>
                <w:szCs w:val="24"/>
                <w:vertAlign w:val="superscript"/>
                <w:lang w:val="kk-KZ"/>
              </w:rPr>
              <w:t>2</w:t>
            </w:r>
            <w:r w:rsidRPr="00C473D3">
              <w:rPr>
                <w:rFonts w:ascii="Times New Roman" w:eastAsia="Times New Roman" w:hAnsi="Times New Roman"/>
                <w:b/>
                <w:bCs/>
                <w:sz w:val="24"/>
                <w:szCs w:val="24"/>
                <w:lang w:val="kk-KZ"/>
              </w:rPr>
              <w:t xml:space="preserve">, әр 21 күн сайын 1-14-күндері)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52BC5C1" w14:textId="77777777" w:rsidR="00127040" w:rsidRPr="00C473D3" w:rsidRDefault="000A0115" w:rsidP="00873FF7">
            <w:pPr>
              <w:spacing w:after="0" w:line="20" w:lineRule="atLeast"/>
              <w:ind w:right="58"/>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Трастузумаб </w:t>
            </w:r>
          </w:p>
          <w:p w14:paraId="3B4E5036" w14:textId="77777777" w:rsidR="00127040" w:rsidRPr="00C473D3" w:rsidRDefault="000A0115" w:rsidP="00873FF7">
            <w:pPr>
              <w:spacing w:after="0" w:line="20" w:lineRule="atLeast"/>
              <w:ind w:right="59"/>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(жүктеме доза </w:t>
            </w:r>
          </w:p>
          <w:p w14:paraId="4667EBF4"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8 мг/кг кейіннен әр 3 апта сайын инфузия түрінде 6 мг/кг  </w:t>
            </w:r>
          </w:p>
          <w:p w14:paraId="1BD3BC4B" w14:textId="77777777" w:rsidR="00127040" w:rsidRPr="00C473D3" w:rsidRDefault="000A0115" w:rsidP="00873FF7">
            <w:pPr>
              <w:spacing w:after="0" w:line="20" w:lineRule="atLeast"/>
              <w:ind w:left="34"/>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қабылдаумен) </w:t>
            </w:r>
          </w:p>
          <w:p w14:paraId="24EB5C1E" w14:textId="77777777" w:rsidR="00127040" w:rsidRPr="00C473D3" w:rsidRDefault="000A0115" w:rsidP="00873FF7">
            <w:pPr>
              <w:spacing w:after="0" w:line="20" w:lineRule="atLeast"/>
              <w:ind w:left="29" w:right="195"/>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 капецитабин </w:t>
            </w:r>
          </w:p>
          <w:p w14:paraId="7439C0B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(тәулігіне 2500 мг/м</w:t>
            </w:r>
            <w:r w:rsidRPr="00C473D3">
              <w:rPr>
                <w:rFonts w:ascii="Times New Roman" w:eastAsia="Times New Roman" w:hAnsi="Times New Roman"/>
                <w:b/>
                <w:bCs/>
                <w:sz w:val="24"/>
                <w:szCs w:val="24"/>
                <w:vertAlign w:val="superscript"/>
                <w:lang w:val="kk-KZ"/>
              </w:rPr>
              <w:t>2</w:t>
            </w:r>
            <w:r w:rsidRPr="00C473D3">
              <w:rPr>
                <w:rFonts w:ascii="Times New Roman" w:eastAsia="Times New Roman" w:hAnsi="Times New Roman"/>
                <w:b/>
                <w:bCs/>
                <w:sz w:val="24"/>
                <w:szCs w:val="24"/>
                <w:lang w:val="kk-KZ"/>
              </w:rPr>
              <w:t xml:space="preserve">, әр 21 күн сайын 1-14-күндері)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A21F5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Лапатиниб (күніне 1,250 мг) + </w:t>
            </w:r>
          </w:p>
          <w:p w14:paraId="7498382B"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капецитабин </w:t>
            </w:r>
          </w:p>
          <w:p w14:paraId="0EAFD058"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(тәулігіне 2000 мг / м</w:t>
            </w:r>
            <w:r w:rsidRPr="00C473D3">
              <w:rPr>
                <w:rFonts w:ascii="Times New Roman" w:eastAsia="Times New Roman" w:hAnsi="Times New Roman"/>
                <w:b/>
                <w:bCs/>
                <w:sz w:val="24"/>
                <w:szCs w:val="24"/>
                <w:vertAlign w:val="superscript"/>
                <w:lang w:val="kk-KZ"/>
              </w:rPr>
              <w:t>2</w:t>
            </w:r>
            <w:r w:rsidRPr="00C473D3">
              <w:rPr>
                <w:rFonts w:ascii="Times New Roman" w:eastAsia="Times New Roman" w:hAnsi="Times New Roman"/>
                <w:b/>
                <w:bCs/>
                <w:sz w:val="24"/>
                <w:szCs w:val="24"/>
                <w:lang w:val="kk-KZ"/>
              </w:rPr>
              <w:t xml:space="preserve">, әр 21 күн сайын 1-14-күндері)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09D88A3A"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Трастузумаб </w:t>
            </w:r>
          </w:p>
          <w:p w14:paraId="533B86C5" w14:textId="77777777" w:rsidR="00127040" w:rsidRPr="00C473D3" w:rsidRDefault="000A0115" w:rsidP="00873FF7">
            <w:pPr>
              <w:spacing w:after="0" w:line="20" w:lineRule="atLeast"/>
              <w:ind w:right="58"/>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(жүктеме доза </w:t>
            </w:r>
          </w:p>
          <w:p w14:paraId="2DAE1A2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8 мг/кг кейіннен әр 3 апта сайын инфузия түрінде 6 мг/кг  </w:t>
            </w:r>
          </w:p>
          <w:p w14:paraId="0B2DCA79" w14:textId="77777777" w:rsidR="00127040" w:rsidRPr="00C473D3" w:rsidRDefault="000A0115" w:rsidP="00873FF7">
            <w:pPr>
              <w:spacing w:after="0" w:line="20" w:lineRule="atLeast"/>
              <w:ind w:left="34"/>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қабылдаумен) </w:t>
            </w:r>
          </w:p>
          <w:p w14:paraId="76BD2CF1" w14:textId="77777777" w:rsidR="00127040" w:rsidRPr="00C473D3" w:rsidRDefault="000A0115" w:rsidP="00873FF7">
            <w:pPr>
              <w:spacing w:after="0" w:line="20" w:lineRule="atLeast"/>
              <w:ind w:left="29" w:right="195"/>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 капецитабин </w:t>
            </w:r>
          </w:p>
          <w:p w14:paraId="5272011A"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(тәулігіне 2500 мг/м</w:t>
            </w:r>
            <w:r w:rsidRPr="00C473D3">
              <w:rPr>
                <w:rFonts w:ascii="Times New Roman" w:eastAsia="Times New Roman" w:hAnsi="Times New Roman"/>
                <w:b/>
                <w:bCs/>
                <w:sz w:val="24"/>
                <w:szCs w:val="24"/>
                <w:vertAlign w:val="superscript"/>
                <w:lang w:val="kk-KZ"/>
              </w:rPr>
              <w:t>2</w:t>
            </w:r>
            <w:r w:rsidRPr="00C473D3">
              <w:rPr>
                <w:rFonts w:ascii="Times New Roman" w:eastAsia="Times New Roman" w:hAnsi="Times New Roman"/>
                <w:b/>
                <w:bCs/>
                <w:sz w:val="24"/>
                <w:szCs w:val="24"/>
                <w:lang w:val="kk-KZ"/>
              </w:rPr>
              <w:t xml:space="preserve">, әр 21 күн сайын 1-14-күндері) </w:t>
            </w:r>
          </w:p>
        </w:tc>
      </w:tr>
      <w:tr w:rsidR="00D77C3D" w14:paraId="7C134596" w14:textId="77777777" w:rsidTr="00873FF7">
        <w:trPr>
          <w:trHeight w:val="262"/>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auto"/>
          </w:tcPr>
          <w:p w14:paraId="11F4EC20"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Зерттеуге енгізілген пациенттер </w:t>
            </w:r>
          </w:p>
        </w:tc>
      </w:tr>
      <w:tr w:rsidR="00D77C3D" w14:paraId="32D5B226" w14:textId="77777777" w:rsidTr="00873FF7">
        <w:trPr>
          <w:trHeight w:val="264"/>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A619404"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N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5C780F21"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271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4E94F3E"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269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91A05E"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271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3EC1FB62" w14:textId="77777777" w:rsidR="00127040" w:rsidRPr="00C473D3" w:rsidRDefault="000A0115" w:rsidP="00873FF7">
            <w:pPr>
              <w:spacing w:after="0" w:line="20" w:lineRule="atLeast"/>
              <w:ind w:right="5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269 </w:t>
            </w:r>
          </w:p>
        </w:tc>
      </w:tr>
      <w:tr w:rsidR="00D77C3D" w14:paraId="4473CE4E" w14:textId="77777777" w:rsidTr="00873FF7">
        <w:trPr>
          <w:trHeight w:val="516"/>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B202396"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Асқыну саны (%) </w:t>
            </w:r>
            <w:r w:rsidRPr="00C473D3">
              <w:rPr>
                <w:rFonts w:ascii="Times New Roman" w:eastAsia="Times New Roman" w:hAnsi="Times New Roman"/>
                <w:sz w:val="24"/>
                <w:szCs w:val="24"/>
                <w:vertAlign w:val="superscript"/>
                <w:lang w:val="kk-KZ"/>
              </w:rPr>
              <w:t>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2B020BC8"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160 (59)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88ACCC7"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134 (50)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DEAEF5"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70 (26)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2CEABD7A"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58 (22) </w:t>
            </w:r>
          </w:p>
        </w:tc>
      </w:tr>
      <w:tr w:rsidR="00D77C3D" w14:paraId="59E7B5BD" w14:textId="77777777" w:rsidTr="00873FF7">
        <w:trPr>
          <w:trHeight w:val="768"/>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9BE7023" w14:textId="0632E974"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Каплан-Майер әдісі бойынша есептеу, айлар</w:t>
            </w:r>
            <w:r w:rsidRPr="00C473D3">
              <w:rPr>
                <w:rFonts w:ascii="Times New Roman" w:eastAsia="Times New Roman" w:hAnsi="Times New Roman"/>
                <w:sz w:val="24"/>
                <w:szCs w:val="24"/>
                <w:vertAlign w:val="superscript"/>
                <w:lang w:val="kk-KZ"/>
              </w:rPr>
              <w:t>а</w:t>
            </w:r>
            <w:r w:rsidRPr="00C473D3">
              <w:rPr>
                <w:rFonts w:ascii="Times New Roman" w:eastAsia="Times New Roman" w:hAnsi="Times New Roman"/>
                <w:b/>
                <w:bCs/>
                <w:sz w:val="24"/>
                <w:szCs w:val="24"/>
                <w:lang w:val="kk-KZ"/>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09E0B47A" w14:textId="77777777" w:rsidR="00127040" w:rsidRPr="00C473D3" w:rsidRDefault="000A0115" w:rsidP="00873FF7">
            <w:pPr>
              <w:spacing w:after="0" w:line="20" w:lineRule="atLeast"/>
              <w:ind w:left="1"/>
              <w:jc w:val="both"/>
              <w:rPr>
                <w:rFonts w:ascii="Times New Roman" w:eastAsia="Times New Roman" w:hAnsi="Times New Roman"/>
                <w:sz w:val="24"/>
                <w:szCs w:val="24"/>
              </w:rPr>
            </w:pPr>
            <w:r w:rsidRPr="00C473D3">
              <w:rPr>
                <w:rFonts w:ascii="Times New Roman" w:eastAsia="Times New Roman" w:hAnsi="Times New Roman"/>
                <w:sz w:val="24"/>
                <w:szCs w:val="24"/>
                <w:lang w:val="ru"/>
              </w:rPr>
              <w:t xml:space="preserve">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C7863E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9DFFA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ru"/>
              </w:rPr>
              <w:t xml:space="preserve"> </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662009" w14:textId="77777777" w:rsidR="00127040" w:rsidRPr="00C473D3" w:rsidRDefault="000A0115" w:rsidP="00873FF7">
            <w:pPr>
              <w:spacing w:after="0" w:line="20" w:lineRule="atLeast"/>
              <w:ind w:left="1"/>
              <w:jc w:val="both"/>
              <w:rPr>
                <w:rFonts w:ascii="Times New Roman" w:eastAsia="Times New Roman" w:hAnsi="Times New Roman"/>
                <w:sz w:val="24"/>
                <w:szCs w:val="24"/>
              </w:rPr>
            </w:pPr>
            <w:r w:rsidRPr="00C473D3">
              <w:rPr>
                <w:rFonts w:ascii="Times New Roman" w:eastAsia="Times New Roman" w:hAnsi="Times New Roman"/>
                <w:sz w:val="24"/>
                <w:szCs w:val="24"/>
                <w:lang w:val="ru"/>
              </w:rPr>
              <w:t xml:space="preserve"> </w:t>
            </w:r>
          </w:p>
        </w:tc>
      </w:tr>
      <w:tr w:rsidR="00D77C3D" w14:paraId="06D76F1B" w14:textId="77777777" w:rsidTr="00930188">
        <w:trPr>
          <w:trHeight w:val="516"/>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933E90B"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Медиана (95 % </w:t>
            </w:r>
          </w:p>
          <w:p w14:paraId="478010D4"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СА: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1279F2" w14:textId="77777777" w:rsidR="00127040" w:rsidRPr="00C473D3" w:rsidRDefault="000A0115" w:rsidP="00873FF7">
            <w:pPr>
              <w:spacing w:after="0" w:line="20" w:lineRule="atLeast"/>
              <w:ind w:right="5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6,6 (5,7; 8,1) </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D0617" w14:textId="77777777" w:rsidR="00127040" w:rsidRPr="00C473D3" w:rsidRDefault="000A0115" w:rsidP="00873FF7">
            <w:pPr>
              <w:spacing w:after="0" w:line="20" w:lineRule="atLeast"/>
              <w:ind w:right="5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8,0 (6,1; 8,9)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7DA4" w14:textId="77777777" w:rsidR="00127040" w:rsidRPr="00C473D3" w:rsidRDefault="000A0115" w:rsidP="00873FF7">
            <w:pPr>
              <w:spacing w:after="0" w:line="20" w:lineRule="atLeast"/>
              <w:ind w:right="58"/>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22,7 (19,.5; -) </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3DBE3" w14:textId="77777777" w:rsidR="00127040" w:rsidRPr="00C473D3" w:rsidRDefault="000A0115" w:rsidP="00873FF7">
            <w:pPr>
              <w:spacing w:after="0" w:line="20" w:lineRule="atLeast"/>
              <w:ind w:right="58"/>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27,3 (23,7; -) </w:t>
            </w:r>
          </w:p>
        </w:tc>
      </w:tr>
      <w:tr w:rsidR="00D77C3D" w14:paraId="23031E3C" w14:textId="77777777" w:rsidTr="00873FF7">
        <w:trPr>
          <w:trHeight w:val="768"/>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1CE17E8" w14:textId="49275D4B" w:rsidR="00127040" w:rsidRPr="00930188" w:rsidRDefault="000A0115" w:rsidP="00930188">
            <w:pPr>
              <w:spacing w:after="0" w:line="20" w:lineRule="atLeast"/>
              <w:rPr>
                <w:rFonts w:ascii="Times New Roman" w:eastAsia="Times New Roman" w:hAnsi="Times New Roman"/>
                <w:sz w:val="24"/>
                <w:szCs w:val="24"/>
                <w:lang w:val="en-US"/>
              </w:rPr>
            </w:pPr>
            <w:r w:rsidRPr="00C473D3">
              <w:rPr>
                <w:rFonts w:ascii="Times New Roman" w:eastAsia="Times New Roman" w:hAnsi="Times New Roman"/>
                <w:b/>
                <w:bCs/>
                <w:sz w:val="24"/>
                <w:szCs w:val="24"/>
                <w:lang w:val="kk-KZ"/>
              </w:rPr>
              <w:t>Тәуекелдердің</w:t>
            </w:r>
            <w:r w:rsidR="00930188">
              <w:rPr>
                <w:rFonts w:ascii="Times New Roman" w:eastAsia="Times New Roman" w:hAnsi="Times New Roman"/>
                <w:b/>
                <w:bCs/>
                <w:sz w:val="24"/>
                <w:szCs w:val="24"/>
                <w:lang w:val="kk-KZ"/>
              </w:rPr>
              <w:t xml:space="preserve"> </w:t>
            </w:r>
            <w:r w:rsidRPr="00C473D3">
              <w:rPr>
                <w:rFonts w:ascii="Times New Roman" w:eastAsia="Times New Roman" w:hAnsi="Times New Roman"/>
                <w:b/>
                <w:bCs/>
                <w:sz w:val="24"/>
                <w:szCs w:val="24"/>
                <w:lang w:val="kk-KZ"/>
              </w:rPr>
              <w:t>стратификацияланған қатынасы</w:t>
            </w:r>
            <w:r w:rsidR="00930188" w:rsidRPr="00930188">
              <w:rPr>
                <w:rFonts w:ascii="Times New Roman" w:eastAsia="Times New Roman" w:hAnsi="Times New Roman"/>
                <w:b/>
                <w:bCs/>
                <w:sz w:val="24"/>
                <w:szCs w:val="24"/>
                <w:vertAlign w:val="superscript"/>
                <w:lang w:val="en-US"/>
              </w:rPr>
              <w:t>b</w:t>
            </w:r>
          </w:p>
        </w:tc>
        <w:tc>
          <w:tcPr>
            <w:tcW w:w="3629" w:type="dxa"/>
            <w:gridSpan w:val="3"/>
            <w:tcBorders>
              <w:top w:val="single" w:sz="4" w:space="0" w:color="000000"/>
              <w:left w:val="single" w:sz="4" w:space="0" w:color="000000"/>
              <w:bottom w:val="single" w:sz="4" w:space="0" w:color="000000"/>
              <w:right w:val="single" w:sz="4" w:space="0" w:color="000000"/>
            </w:tcBorders>
            <w:shd w:val="clear" w:color="auto" w:fill="auto"/>
          </w:tcPr>
          <w:p w14:paraId="2A77E27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ru"/>
              </w:rPr>
              <w:t xml:space="preserve"> </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Pr>
          <w:p w14:paraId="5438D2F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ru"/>
              </w:rPr>
              <w:t xml:space="preserve"> </w:t>
            </w:r>
          </w:p>
        </w:tc>
      </w:tr>
      <w:tr w:rsidR="00D77C3D" w14:paraId="3A93DDA1" w14:textId="77777777" w:rsidTr="00873FF7">
        <w:trPr>
          <w:trHeight w:val="264"/>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9ABB3F8" w14:textId="77777777" w:rsidR="00127040" w:rsidRPr="00C473D3" w:rsidRDefault="000A0115" w:rsidP="00873FF7">
            <w:pPr>
              <w:spacing w:after="0" w:line="20" w:lineRule="atLeast"/>
              <w:ind w:left="1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Тәуекелдердің арақатынасы (95% CI) </w:t>
            </w:r>
          </w:p>
        </w:tc>
        <w:tc>
          <w:tcPr>
            <w:tcW w:w="3629" w:type="dxa"/>
            <w:gridSpan w:val="3"/>
            <w:tcBorders>
              <w:top w:val="single" w:sz="4" w:space="0" w:color="000000"/>
              <w:left w:val="single" w:sz="4" w:space="0" w:color="000000"/>
              <w:bottom w:val="single" w:sz="4" w:space="0" w:color="000000"/>
              <w:right w:val="single" w:sz="4" w:space="0" w:color="000000"/>
            </w:tcBorders>
            <w:shd w:val="clear" w:color="auto" w:fill="auto"/>
          </w:tcPr>
          <w:p w14:paraId="5B241892" w14:textId="6A32CD7F" w:rsidR="00127040" w:rsidRPr="00C473D3" w:rsidRDefault="000A0115" w:rsidP="00930188">
            <w:pPr>
              <w:spacing w:after="0" w:line="20" w:lineRule="atLeast"/>
              <w:ind w:right="56"/>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1,30 (1,04; 1,64)</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Pr>
          <w:p w14:paraId="12CF6CF6" w14:textId="3A02707B" w:rsidR="00127040" w:rsidRPr="00C473D3" w:rsidRDefault="000A0115" w:rsidP="00930188">
            <w:pPr>
              <w:spacing w:after="0" w:line="20" w:lineRule="atLeast"/>
              <w:ind w:right="57"/>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1,34 (0,95; 1,90)</w:t>
            </w:r>
          </w:p>
        </w:tc>
      </w:tr>
      <w:tr w:rsidR="00D77C3D" w14:paraId="7E25E5B1" w14:textId="77777777" w:rsidTr="00873FF7">
        <w:trPr>
          <w:trHeight w:val="264"/>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5AA2F2C" w14:textId="77777777" w:rsidR="00127040" w:rsidRPr="00C473D3" w:rsidRDefault="000A0115" w:rsidP="00873FF7">
            <w:pPr>
              <w:spacing w:after="0" w:line="20" w:lineRule="atLeast"/>
              <w:ind w:left="1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р-мәні </w:t>
            </w:r>
          </w:p>
        </w:tc>
        <w:tc>
          <w:tcPr>
            <w:tcW w:w="3629" w:type="dxa"/>
            <w:gridSpan w:val="3"/>
            <w:tcBorders>
              <w:top w:val="single" w:sz="4" w:space="0" w:color="000000"/>
              <w:left w:val="single" w:sz="4" w:space="0" w:color="000000"/>
              <w:bottom w:val="single" w:sz="4" w:space="0" w:color="000000"/>
              <w:right w:val="single" w:sz="4" w:space="0" w:color="000000"/>
            </w:tcBorders>
            <w:shd w:val="clear" w:color="auto" w:fill="auto"/>
          </w:tcPr>
          <w:p w14:paraId="7CE081F9" w14:textId="0AA1F561" w:rsidR="00127040" w:rsidRPr="00C473D3" w:rsidRDefault="000A0115" w:rsidP="00930188">
            <w:pPr>
              <w:spacing w:after="0" w:line="20" w:lineRule="atLeast"/>
              <w:ind w:right="52"/>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0,021</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Pr>
          <w:p w14:paraId="4BE7293D" w14:textId="024F43CA" w:rsidR="00127040" w:rsidRPr="00C473D3" w:rsidRDefault="000A0115" w:rsidP="00930188">
            <w:pPr>
              <w:spacing w:after="0" w:line="20" w:lineRule="atLeast"/>
              <w:ind w:right="53"/>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0,095</w:t>
            </w:r>
          </w:p>
        </w:tc>
      </w:tr>
      <w:tr w:rsidR="00D77C3D" w14:paraId="3911AC17" w14:textId="77777777" w:rsidTr="00873FF7">
        <w:trPr>
          <w:trHeight w:val="262"/>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auto"/>
          </w:tcPr>
          <w:p w14:paraId="0EE9C405"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Алдын ала трастузумаб қабылдаған пациенттер * </w:t>
            </w:r>
          </w:p>
        </w:tc>
      </w:tr>
      <w:tr w:rsidR="00D77C3D" w14:paraId="0CECA8A9" w14:textId="77777777" w:rsidTr="00873FF7">
        <w:trPr>
          <w:trHeight w:val="264"/>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603B1A3"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N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06C2BEC4"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167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81D251D"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159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25C76B"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167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71600D57" w14:textId="77777777" w:rsidR="00127040" w:rsidRPr="00C473D3" w:rsidRDefault="000A0115" w:rsidP="00873FF7">
            <w:pPr>
              <w:spacing w:after="0" w:line="20" w:lineRule="atLeast"/>
              <w:ind w:right="5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159 </w:t>
            </w:r>
          </w:p>
        </w:tc>
      </w:tr>
      <w:tr w:rsidR="00D77C3D" w14:paraId="42E06EC6" w14:textId="77777777" w:rsidTr="00873FF7">
        <w:trPr>
          <w:trHeight w:val="516"/>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E0F1E27"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Асқынулар саны ( % )</w:t>
            </w:r>
            <w:r w:rsidRPr="00C473D3">
              <w:rPr>
                <w:rFonts w:ascii="Times New Roman" w:eastAsia="Times New Roman" w:hAnsi="Times New Roman"/>
                <w:sz w:val="24"/>
                <w:szCs w:val="24"/>
                <w:vertAlign w:val="superscript"/>
                <w:lang w:val="kk-KZ"/>
              </w:rPr>
              <w:t xml:space="preserve"> 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5504B84D"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103 (62)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11F3ECF"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86 (54)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B96710"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43 (26)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14:paraId="61B39ED0"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38 (24) </w:t>
            </w:r>
          </w:p>
        </w:tc>
      </w:tr>
      <w:tr w:rsidR="00D77C3D" w14:paraId="7BC20B56" w14:textId="77777777" w:rsidTr="00873FF7">
        <w:trPr>
          <w:trHeight w:val="517"/>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7067A45"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Медиана (95 % </w:t>
            </w:r>
          </w:p>
          <w:p w14:paraId="0E8D88D4"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СА: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66C6E5BC" w14:textId="77777777" w:rsidR="00127040" w:rsidRPr="00C473D3" w:rsidRDefault="000A0115" w:rsidP="00873FF7">
            <w:pPr>
              <w:spacing w:after="0" w:line="20" w:lineRule="atLeast"/>
              <w:ind w:right="5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6,6 (5,7; 8,3)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7684A64" w14:textId="77777777" w:rsidR="00127040" w:rsidRPr="00C473D3" w:rsidRDefault="000A0115" w:rsidP="00873FF7">
            <w:pPr>
              <w:spacing w:after="0" w:line="20" w:lineRule="atLeast"/>
              <w:ind w:right="5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6,1 (5,7; 8,0)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FACA26"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22,7 (20,1; -) </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29FC55"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27,3 (22,5; 33,6) </w:t>
            </w:r>
          </w:p>
        </w:tc>
      </w:tr>
      <w:tr w:rsidR="00D77C3D" w14:paraId="015107BA" w14:textId="77777777" w:rsidTr="00873FF7">
        <w:trPr>
          <w:trHeight w:val="262"/>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E39E6DD" w14:textId="77777777" w:rsidR="00127040" w:rsidRPr="00C473D3" w:rsidRDefault="000A0115" w:rsidP="00873FF7">
            <w:pPr>
              <w:spacing w:after="0" w:line="20" w:lineRule="atLeast"/>
              <w:ind w:left="14"/>
              <w:jc w:val="both"/>
              <w:rPr>
                <w:rFonts w:ascii="Times New Roman" w:eastAsia="Times New Roman" w:hAnsi="Times New Roman"/>
                <w:sz w:val="24"/>
                <w:szCs w:val="24"/>
              </w:rPr>
            </w:pPr>
            <w:r w:rsidRPr="00C473D3">
              <w:rPr>
                <w:rFonts w:ascii="Times New Roman" w:eastAsia="Times New Roman" w:hAnsi="Times New Roman"/>
                <w:sz w:val="24"/>
                <w:szCs w:val="24"/>
                <w:lang w:val="kk-KZ"/>
              </w:rPr>
              <w:lastRenderedPageBreak/>
              <w:t xml:space="preserve">Тәуекелдердің арақатынасы (95% CI) </w:t>
            </w:r>
          </w:p>
        </w:tc>
        <w:tc>
          <w:tcPr>
            <w:tcW w:w="3629" w:type="dxa"/>
            <w:gridSpan w:val="3"/>
            <w:tcBorders>
              <w:top w:val="single" w:sz="4" w:space="0" w:color="000000"/>
              <w:left w:val="single" w:sz="4" w:space="0" w:color="000000"/>
              <w:bottom w:val="single" w:sz="4" w:space="0" w:color="000000"/>
              <w:right w:val="single" w:sz="4" w:space="0" w:color="000000"/>
            </w:tcBorders>
            <w:shd w:val="clear" w:color="auto" w:fill="auto"/>
          </w:tcPr>
          <w:p w14:paraId="6E5A999A"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1,13 (0,85; 1,50) </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Pr>
          <w:p w14:paraId="24C3A9AD"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1,18 (0,76; 1,83) </w:t>
            </w:r>
          </w:p>
        </w:tc>
      </w:tr>
      <w:tr w:rsidR="00D77C3D" w14:paraId="101A3E8C" w14:textId="77777777" w:rsidTr="00873FF7">
        <w:trPr>
          <w:trHeight w:val="286"/>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auto"/>
          </w:tcPr>
          <w:p w14:paraId="1CA20EB0"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Алдын ала трастузумаб алмаған пациенттер * </w:t>
            </w:r>
          </w:p>
        </w:tc>
      </w:tr>
      <w:tr w:rsidR="00D77C3D" w14:paraId="3BEF0544" w14:textId="77777777" w:rsidTr="00930188">
        <w:trPr>
          <w:trHeight w:val="264"/>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9DE4036"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N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2346B" w14:textId="35E83CAE" w:rsidR="00127040" w:rsidRPr="00C473D3" w:rsidRDefault="000A0115" w:rsidP="00930188">
            <w:pPr>
              <w:spacing w:after="0" w:line="20" w:lineRule="atLeast"/>
              <w:ind w:right="56"/>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104</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1B21A" w14:textId="296C9DB5" w:rsidR="00127040" w:rsidRPr="00C473D3" w:rsidRDefault="000A0115" w:rsidP="00930188">
            <w:pPr>
              <w:spacing w:after="0" w:line="20" w:lineRule="atLeast"/>
              <w:ind w:right="55"/>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895B" w14:textId="46EADF9A" w:rsidR="00127040" w:rsidRPr="00C473D3" w:rsidRDefault="000A0115" w:rsidP="00930188">
            <w:pPr>
              <w:spacing w:after="0" w:line="20" w:lineRule="atLeast"/>
              <w:ind w:right="55"/>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104</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42FE9" w14:textId="77777777" w:rsidR="00127040" w:rsidRPr="00C473D3" w:rsidRDefault="000A0115" w:rsidP="00873FF7">
            <w:pPr>
              <w:spacing w:after="0" w:line="20" w:lineRule="atLeast"/>
              <w:ind w:right="5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110 </w:t>
            </w:r>
          </w:p>
        </w:tc>
      </w:tr>
      <w:tr w:rsidR="00D77C3D" w14:paraId="2BF9F78B" w14:textId="77777777" w:rsidTr="00930188">
        <w:trPr>
          <w:trHeight w:val="516"/>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BA9D2D9"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Асқынулар саны ( % )</w:t>
            </w:r>
            <w:r w:rsidRPr="00C473D3">
              <w:rPr>
                <w:rFonts w:ascii="Times New Roman" w:eastAsia="Times New Roman" w:hAnsi="Times New Roman"/>
                <w:sz w:val="24"/>
                <w:szCs w:val="24"/>
                <w:vertAlign w:val="superscript"/>
                <w:lang w:val="kk-KZ"/>
              </w:rPr>
              <w:t xml:space="preserve"> 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0AC42C" w14:textId="3B90EF49" w:rsidR="00127040" w:rsidRPr="00C473D3" w:rsidRDefault="000A0115" w:rsidP="00930188">
            <w:pPr>
              <w:spacing w:after="0" w:line="20" w:lineRule="atLeast"/>
              <w:ind w:right="57"/>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57 (55)</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90B2" w14:textId="4238A347" w:rsidR="00127040" w:rsidRPr="00C473D3" w:rsidRDefault="000A0115" w:rsidP="00930188">
            <w:pPr>
              <w:spacing w:after="0" w:line="20" w:lineRule="atLeast"/>
              <w:ind w:right="56"/>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48 (44)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C5CB" w14:textId="11DCB9E1" w:rsidR="00127040" w:rsidRPr="00C473D3" w:rsidRDefault="000A0115" w:rsidP="00930188">
            <w:pPr>
              <w:spacing w:after="0" w:line="20" w:lineRule="atLeast"/>
              <w:ind w:right="56"/>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27 (26)</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3E161"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20 (18) </w:t>
            </w:r>
          </w:p>
        </w:tc>
      </w:tr>
      <w:tr w:rsidR="00D77C3D" w14:paraId="433A8BA6" w14:textId="77777777" w:rsidTr="00930188">
        <w:trPr>
          <w:trHeight w:val="516"/>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F9A56E7"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Медиана (95 % </w:t>
            </w:r>
          </w:p>
          <w:p w14:paraId="4F04B9BA"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СА: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55FE4C" w14:textId="5BD3B378" w:rsidR="00127040" w:rsidRPr="00C473D3" w:rsidRDefault="000A0115" w:rsidP="00930188">
            <w:pPr>
              <w:spacing w:after="0" w:line="20" w:lineRule="atLeast"/>
              <w:ind w:right="54"/>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6,3 (5,6; 8,1)</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6867" w14:textId="6398EE6A" w:rsidR="00127040" w:rsidRPr="00C473D3" w:rsidRDefault="000A0115" w:rsidP="00930188">
            <w:pPr>
              <w:spacing w:after="0" w:line="20" w:lineRule="atLeast"/>
              <w:ind w:right="57"/>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10,9 (8,3; 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6F323" w14:textId="7CFF40F4" w:rsidR="00127040" w:rsidRPr="00C473D3" w:rsidRDefault="000A0115" w:rsidP="00930188">
            <w:pPr>
              <w:spacing w:after="0" w:line="20" w:lineRule="atLeast"/>
              <w:ind w:right="56"/>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NE</w:t>
            </w:r>
            <w:r w:rsidRPr="00C473D3">
              <w:rPr>
                <w:rFonts w:ascii="Times New Roman" w:eastAsia="Times New Roman" w:hAnsi="Times New Roman"/>
                <w:sz w:val="24"/>
                <w:szCs w:val="24"/>
                <w:vertAlign w:val="superscript"/>
                <w:lang w:val="kk-KZ"/>
              </w:rPr>
              <w:t xml:space="preserve">2 </w:t>
            </w:r>
            <w:r w:rsidRPr="00C473D3">
              <w:rPr>
                <w:rFonts w:ascii="Times New Roman" w:eastAsia="Times New Roman" w:hAnsi="Times New Roman"/>
                <w:sz w:val="24"/>
                <w:szCs w:val="24"/>
                <w:lang w:val="kk-KZ"/>
              </w:rPr>
              <w:t>(14,6, -)</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A56A3"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NE</w:t>
            </w:r>
            <w:r w:rsidRPr="00C473D3">
              <w:rPr>
                <w:rFonts w:ascii="Times New Roman" w:eastAsia="Times New Roman" w:hAnsi="Times New Roman"/>
                <w:sz w:val="24"/>
                <w:szCs w:val="24"/>
                <w:vertAlign w:val="superscript"/>
                <w:lang w:val="kk-KZ"/>
              </w:rPr>
              <w:t xml:space="preserve">2 </w:t>
            </w:r>
            <w:r w:rsidRPr="00C473D3">
              <w:rPr>
                <w:rFonts w:ascii="Times New Roman" w:eastAsia="Times New Roman" w:hAnsi="Times New Roman"/>
                <w:sz w:val="24"/>
                <w:szCs w:val="24"/>
                <w:lang w:val="kk-KZ"/>
              </w:rPr>
              <w:t xml:space="preserve">(21,6, -) </w:t>
            </w:r>
          </w:p>
        </w:tc>
      </w:tr>
      <w:tr w:rsidR="00D77C3D" w14:paraId="4EAD9999" w14:textId="77777777" w:rsidTr="00930188">
        <w:trPr>
          <w:trHeight w:val="264"/>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80C3061" w14:textId="77777777" w:rsidR="00127040" w:rsidRPr="00C473D3" w:rsidRDefault="000A0115" w:rsidP="00873FF7">
            <w:pPr>
              <w:spacing w:after="0" w:line="20" w:lineRule="atLeast"/>
              <w:ind w:left="1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Тәуекелдердің арақатынасы (95% CI) </w:t>
            </w:r>
          </w:p>
        </w:tc>
        <w:tc>
          <w:tcPr>
            <w:tcW w:w="36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A8C13F" w14:textId="676BD8C9" w:rsidR="00127040" w:rsidRPr="00C473D3" w:rsidRDefault="000A0115" w:rsidP="00930188">
            <w:pPr>
              <w:spacing w:after="0" w:line="20" w:lineRule="atLeast"/>
              <w:ind w:right="56"/>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1,70 (1,15; 2,50)</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A56B7" w14:textId="2F687282" w:rsidR="00127040" w:rsidRPr="00C473D3" w:rsidRDefault="000A0115" w:rsidP="00930188">
            <w:pPr>
              <w:spacing w:after="0" w:line="20" w:lineRule="atLeast"/>
              <w:ind w:left="318"/>
              <w:jc w:val="center"/>
              <w:rPr>
                <w:rFonts w:ascii="Times New Roman" w:eastAsia="Times New Roman" w:hAnsi="Times New Roman"/>
                <w:sz w:val="24"/>
                <w:szCs w:val="24"/>
              </w:rPr>
            </w:pPr>
            <w:r w:rsidRPr="00C473D3">
              <w:rPr>
                <w:rFonts w:ascii="Times New Roman" w:eastAsia="Times New Roman" w:hAnsi="Times New Roman"/>
                <w:sz w:val="24"/>
                <w:szCs w:val="24"/>
                <w:lang w:val="kk-KZ"/>
              </w:rPr>
              <w:t>1,67 (0,94; 2,96)</w:t>
            </w:r>
          </w:p>
        </w:tc>
      </w:tr>
      <w:tr w:rsidR="00D77C3D" w14:paraId="7B331052" w14:textId="77777777" w:rsidTr="00873FF7">
        <w:trPr>
          <w:trHeight w:val="1118"/>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auto"/>
          </w:tcPr>
          <w:p w14:paraId="74EA6ABB"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CI - сенімділік аралығы </w:t>
            </w:r>
          </w:p>
          <w:p w14:paraId="600D7434" w14:textId="77777777" w:rsidR="00127040" w:rsidRPr="00C473D3" w:rsidRDefault="000A0115" w:rsidP="00873FF7">
            <w:pPr>
              <w:numPr>
                <w:ilvl w:val="0"/>
                <w:numId w:val="27"/>
              </w:num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Прогрессиясыз тірі қалу рандомизациядан бастап аурудың өршу немесе кез келген себеп бойынша өлім күніне дейінгі, бұрын не болатынына немесе бағалау күніне дейінгі уақыт ретінде анықталды. </w:t>
            </w:r>
          </w:p>
          <w:p w14:paraId="7F2FDADC" w14:textId="77777777" w:rsidR="00127040" w:rsidRPr="00C473D3" w:rsidRDefault="000A0115" w:rsidP="00873FF7">
            <w:pPr>
              <w:numPr>
                <w:ilvl w:val="0"/>
                <w:numId w:val="27"/>
              </w:num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Емдеу қаупінің арақатынасын Пайк әдісімен бағалау &lt;1 бірге трастузумабты капецитабинмен бірге қолданумен салыстырғанда лапатинибті капецитабинмен бірге қолдану қаупінің төмендігін көрсетеді. </w:t>
            </w:r>
          </w:p>
          <w:p w14:paraId="69EC204E" w14:textId="77777777" w:rsidR="00127040" w:rsidRPr="00C473D3" w:rsidRDefault="000A0115" w:rsidP="00873FF7">
            <w:pPr>
              <w:numPr>
                <w:ilvl w:val="0"/>
                <w:numId w:val="28"/>
              </w:numPr>
              <w:spacing w:after="0" w:line="20" w:lineRule="atLeast"/>
              <w:ind w:right="306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Прогрессиясыз тірі қалу  жағдайы - бұл өршу немесе өлім, ал жалпы тірі қалу жағдайы - кез келген себеппен өлім. </w:t>
            </w:r>
          </w:p>
          <w:p w14:paraId="2458AF34" w14:textId="77777777" w:rsidR="00930188" w:rsidRPr="00930188" w:rsidRDefault="000A0115" w:rsidP="00873FF7">
            <w:pPr>
              <w:numPr>
                <w:ilvl w:val="0"/>
                <w:numId w:val="28"/>
              </w:numPr>
              <w:spacing w:after="0" w:line="20" w:lineRule="atLeast"/>
              <w:ind w:right="306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NE = медианаға қол жеткізілген жоқ. </w:t>
            </w:r>
          </w:p>
          <w:p w14:paraId="22A0503E" w14:textId="54FDB6BF" w:rsidR="00127040" w:rsidRPr="00C473D3" w:rsidRDefault="000A0115" w:rsidP="00930188">
            <w:pPr>
              <w:spacing w:after="0" w:line="20" w:lineRule="atLeast"/>
              <w:ind w:left="2" w:right="306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 Ретроспективті талдау </w:t>
            </w:r>
          </w:p>
        </w:tc>
      </w:tr>
    </w:tbl>
    <w:p w14:paraId="710603A9" w14:textId="77777777" w:rsidR="00127040" w:rsidRPr="00C473D3" w:rsidRDefault="000A0115" w:rsidP="00FA5BCA">
      <w:pPr>
        <w:spacing w:after="0" w:line="20" w:lineRule="atLeast"/>
        <w:ind w:right="7"/>
        <w:jc w:val="both"/>
        <w:rPr>
          <w:rFonts w:ascii="Times New Roman" w:hAnsi="Times New Roman"/>
          <w:sz w:val="24"/>
          <w:szCs w:val="24"/>
          <w:u w:val="single"/>
          <w:lang w:val="ru"/>
        </w:rPr>
      </w:pPr>
      <w:r w:rsidRPr="00C473D3">
        <w:rPr>
          <w:rFonts w:ascii="Times New Roman" w:hAnsi="Times New Roman"/>
          <w:i/>
          <w:iCs/>
          <w:sz w:val="24"/>
          <w:szCs w:val="24"/>
          <w:u w:val="single"/>
          <w:lang w:val="kk-KZ"/>
        </w:rPr>
        <w:t xml:space="preserve">Лапатиниб пен трастузумабты біріктіріп қолдану </w:t>
      </w:r>
    </w:p>
    <w:p w14:paraId="0EC75D90"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Рандомизацияланған зерттеуде  сүт безінің метастатикалық обырын емдеу үшін лапатинибті трастузумабпен бірге қолданудың тиімділігі мен қауіпсіздігі бағаланды. Зерттеуге қатысуға жарамды пациенттер антрациклиндермен және таксандармен емделген сүт безінің IV сатыдағы метастатикалық обыры, амплифицацияланған ErbB2 геномы (немесе ақуыздың шамадан тыс экспрессиясы) бар әйелдер болды. Сонымен қатар, хаттамаға сәйкес, құрамында трастузумаб бар обырдың метастатикалық түрлерін жақында емдеу нәтижесінде аурудың өршуі болған пациенттер туралы хабарланды. Трастузумаб бар алдын ала емдеу сызбаларының орташа саны - үш. Пациенттер не кейіннен апта сайын 2 мг/кг вена ішіне қанықтыру дозасы ретінде қабылданатын 4 мг/кг трастузумабпен (N=148) бірге күніне бір рет 1,000 мг лапатинибті  немесе күніне бір рет 1,500 мг лапатинибті пероральді (N=148) алу үшін кездейсоқ тәртіппен іріктелді. Аурудың объективті үдеуі бар пациенттер лапатинибті монотерапия ретінде алғаннан кейін кемінде 4 апта бойы біріктірілген терапияға ауыстырылды. Монотерапия ретінде ем қабылдаған 148 пациенттің 77-сі (52%) аурудың өршуі кезінде біріктірілген емді таңдады. </w:t>
      </w:r>
    </w:p>
    <w:p w14:paraId="115D17D6" w14:textId="77777777" w:rsidR="00127040" w:rsidRPr="005D4D1C" w:rsidRDefault="000A0115" w:rsidP="00FD2C3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Прогрессиясыз тірі қалу объективті жауап жағдайларының жиілігімен және қосымша соңғы көрсеткіштер ретінде жалпы тірі қалумен зерттеудің негізгі соңғы көрсеткіші болды. Орташа жас 51 жасты құрады, ал 13%-ы 65 жастан асқан. 94%-ы (тоқсан төрт пайыз) кавказ нәсілінен болды. Екі емдеу тобындағы пациенттердің көпшілігінде висцеральды ауру болды (пациенттердің жалпы саны 215 [73%]). Сонымен қатар, пациенттердің 150 [50%] гормон рецепторының теріс мәні болды. Тиімділік өлшемдері туралы жиынтық ақпарат және жалпы тірі қалу бойынша деректер 4-кестеде берілген</w:t>
      </w:r>
      <w:r w:rsidRPr="00C473D3">
        <w:rPr>
          <w:rFonts w:ascii="Times New Roman" w:hAnsi="Times New Roman"/>
          <w:color w:val="1F497D"/>
          <w:sz w:val="24"/>
          <w:szCs w:val="24"/>
          <w:lang w:val="kk-KZ"/>
        </w:rPr>
        <w:t xml:space="preserve">. </w:t>
      </w:r>
      <w:r w:rsidRPr="00C473D3">
        <w:rPr>
          <w:rFonts w:ascii="Times New Roman" w:hAnsi="Times New Roman"/>
          <w:sz w:val="24"/>
          <w:szCs w:val="24"/>
          <w:lang w:val="kk-KZ"/>
        </w:rPr>
        <w:t xml:space="preserve">Алдын ала анықталған стратификация коэффициентіне (гормон рецепторының мәртебесі) негізделген кіші топты талдау нәтижелері де 5-кестеде берілген. </w:t>
      </w:r>
    </w:p>
    <w:p w14:paraId="3B681AE6" w14:textId="7946345B" w:rsidR="00127040" w:rsidRPr="005D4D1C" w:rsidRDefault="000A0115" w:rsidP="00930188">
      <w:pPr>
        <w:spacing w:after="0" w:line="20" w:lineRule="atLeast"/>
        <w:ind w:left="-5" w:right="7"/>
        <w:jc w:val="both"/>
        <w:rPr>
          <w:rFonts w:ascii="Times New Roman" w:hAnsi="Times New Roman"/>
          <w:b/>
          <w:sz w:val="24"/>
          <w:szCs w:val="24"/>
          <w:lang w:val="kk-KZ"/>
        </w:rPr>
      </w:pPr>
      <w:r w:rsidRPr="00C473D3">
        <w:rPr>
          <w:rFonts w:ascii="Times New Roman" w:hAnsi="Times New Roman"/>
          <w:b/>
          <w:bCs/>
          <w:sz w:val="24"/>
          <w:szCs w:val="24"/>
          <w:lang w:val="kk-KZ"/>
        </w:rPr>
        <w:t>4-кесте. Прогрессиясыз тірі қалу және жалпы тірі қалу туралы мәліметтер (лапатиниб / трастузумаб)</w:t>
      </w:r>
    </w:p>
    <w:tbl>
      <w:tblPr>
        <w:tblW w:w="9107" w:type="dxa"/>
        <w:tblInd w:w="108" w:type="dxa"/>
        <w:tblCellMar>
          <w:top w:w="7" w:type="dxa"/>
          <w:bottom w:w="5" w:type="dxa"/>
          <w:right w:w="53" w:type="dxa"/>
        </w:tblCellMar>
        <w:tblLook w:val="04A0" w:firstRow="1" w:lastRow="0" w:firstColumn="1" w:lastColumn="0" w:noHBand="0" w:noVBand="1"/>
      </w:tblPr>
      <w:tblGrid>
        <w:gridCol w:w="3579"/>
        <w:gridCol w:w="2705"/>
        <w:gridCol w:w="2823"/>
      </w:tblGrid>
      <w:tr w:rsidR="00D77C3D" w14:paraId="4D8262BF" w14:textId="77777777" w:rsidTr="00873FF7">
        <w:trPr>
          <w:trHeight w:val="771"/>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23DCBF33" w14:textId="77777777" w:rsidR="00127040" w:rsidRPr="005D4D1C" w:rsidRDefault="000A0115" w:rsidP="00873FF7">
            <w:pPr>
              <w:spacing w:after="0" w:line="20" w:lineRule="atLeast"/>
              <w:jc w:val="both"/>
              <w:rPr>
                <w:rFonts w:ascii="Times New Roman" w:eastAsia="Times New Roman" w:hAnsi="Times New Roman"/>
                <w:sz w:val="24"/>
                <w:szCs w:val="24"/>
                <w:lang w:val="kk-KZ"/>
              </w:rPr>
            </w:pPr>
            <w:r w:rsidRPr="005D4D1C">
              <w:rPr>
                <w:rFonts w:ascii="Times New Roman" w:eastAsia="Times New Roman" w:hAnsi="Times New Roman"/>
                <w:sz w:val="24"/>
                <w:szCs w:val="24"/>
                <w:lang w:val="kk-KZ"/>
              </w:rPr>
              <w:lastRenderedPageBreak/>
              <w:t xml:space="preserve">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69FD29A" w14:textId="77777777" w:rsidR="00127040" w:rsidRPr="00C473D3" w:rsidRDefault="000A0115" w:rsidP="00873FF7">
            <w:pPr>
              <w:spacing w:after="0" w:line="20" w:lineRule="atLeast"/>
              <w:jc w:val="both"/>
              <w:rPr>
                <w:rFonts w:ascii="Times New Roman" w:eastAsia="Times New Roman" w:hAnsi="Times New Roman"/>
                <w:b/>
                <w:bCs/>
                <w:sz w:val="24"/>
                <w:szCs w:val="24"/>
                <w:lang w:val="ru"/>
              </w:rPr>
            </w:pPr>
            <w:r w:rsidRPr="00C473D3">
              <w:rPr>
                <w:rFonts w:ascii="Times New Roman" w:eastAsia="Times New Roman" w:hAnsi="Times New Roman"/>
                <w:b/>
                <w:bCs/>
                <w:sz w:val="24"/>
                <w:szCs w:val="24"/>
                <w:lang w:val="kk-KZ"/>
              </w:rPr>
              <w:t xml:space="preserve">Лапатиниб + трастузумаб </w:t>
            </w:r>
          </w:p>
          <w:p w14:paraId="1C5F5E4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148) </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B16939" w14:textId="77777777" w:rsidR="00127040" w:rsidRPr="00C473D3" w:rsidRDefault="000A0115" w:rsidP="00873FF7">
            <w:pPr>
              <w:spacing w:after="0" w:line="20" w:lineRule="atLeast"/>
              <w:ind w:left="129"/>
              <w:jc w:val="both"/>
              <w:rPr>
                <w:rFonts w:ascii="Times New Roman" w:eastAsia="Times New Roman" w:hAnsi="Times New Roman"/>
                <w:b/>
                <w:bCs/>
                <w:sz w:val="24"/>
                <w:szCs w:val="24"/>
                <w:lang w:val="ru"/>
              </w:rPr>
            </w:pPr>
            <w:r w:rsidRPr="00C473D3">
              <w:rPr>
                <w:rFonts w:ascii="Times New Roman" w:eastAsia="Times New Roman" w:hAnsi="Times New Roman"/>
                <w:b/>
                <w:bCs/>
                <w:sz w:val="24"/>
                <w:szCs w:val="24"/>
                <w:lang w:val="kk-KZ"/>
              </w:rPr>
              <w:t xml:space="preserve">Лапатиниб монотерапия ретінде </w:t>
            </w:r>
          </w:p>
          <w:p w14:paraId="5E1E5A7D" w14:textId="77777777" w:rsidR="00127040" w:rsidRPr="00C473D3" w:rsidRDefault="000A0115" w:rsidP="00873FF7">
            <w:pPr>
              <w:spacing w:after="0" w:line="20" w:lineRule="atLeast"/>
              <w:ind w:left="129"/>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148) </w:t>
            </w:r>
          </w:p>
        </w:tc>
      </w:tr>
      <w:tr w:rsidR="00D77C3D" w14:paraId="0E6F762F" w14:textId="77777777" w:rsidTr="00873FF7">
        <w:trPr>
          <w:trHeight w:val="516"/>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1E132476" w14:textId="77777777" w:rsidR="00127040" w:rsidRPr="00C473D3" w:rsidRDefault="000A0115" w:rsidP="00873FF7">
            <w:pPr>
              <w:spacing w:after="0" w:line="20" w:lineRule="atLeast"/>
              <w:ind w:right="1223"/>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ПТҚ</w:t>
            </w:r>
            <w:r w:rsidRPr="00C473D3">
              <w:rPr>
                <w:rFonts w:ascii="Times New Roman" w:eastAsia="Times New Roman" w:hAnsi="Times New Roman"/>
                <w:b/>
                <w:bCs/>
                <w:sz w:val="24"/>
                <w:szCs w:val="24"/>
                <w:vertAlign w:val="superscript"/>
                <w:lang w:val="kk-KZ"/>
              </w:rPr>
              <w:t>1</w:t>
            </w:r>
            <w:r w:rsidRPr="00C473D3">
              <w:rPr>
                <w:rFonts w:ascii="Times New Roman" w:eastAsia="Times New Roman" w:hAnsi="Times New Roman"/>
                <w:b/>
                <w:bCs/>
                <w:sz w:val="24"/>
                <w:szCs w:val="24"/>
                <w:lang w:val="kk-KZ"/>
              </w:rPr>
              <w:t xml:space="preserve"> медианасы, апта </w:t>
            </w:r>
            <w:r w:rsidRPr="00C473D3">
              <w:rPr>
                <w:rFonts w:ascii="Times New Roman" w:eastAsia="Times New Roman" w:hAnsi="Times New Roman"/>
                <w:sz w:val="24"/>
                <w:szCs w:val="24"/>
                <w:lang w:val="kk-KZ"/>
              </w:rPr>
              <w:t>(95% СА)</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5F6A8BFF"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12,0 </w:t>
            </w:r>
          </w:p>
          <w:p w14:paraId="15899A45"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(8,1; 16,0) </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5AEFFA5E"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8,1 </w:t>
            </w:r>
          </w:p>
          <w:p w14:paraId="4364D5EB" w14:textId="77777777" w:rsidR="00127040" w:rsidRPr="00C473D3" w:rsidRDefault="000A0115" w:rsidP="00873FF7">
            <w:pPr>
              <w:spacing w:after="0" w:line="20" w:lineRule="atLeast"/>
              <w:ind w:right="59"/>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(7,6; 9,0) </w:t>
            </w:r>
          </w:p>
        </w:tc>
      </w:tr>
      <w:tr w:rsidR="00D77C3D" w14:paraId="08E34168" w14:textId="77777777" w:rsidTr="00873FF7">
        <w:trPr>
          <w:trHeight w:val="262"/>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6515AC6F"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Тәуекелдердің қатынасы (95% CI)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0B85037B" w14:textId="77777777" w:rsidR="00127040" w:rsidRPr="00C473D3" w:rsidRDefault="000A0115" w:rsidP="00873FF7">
            <w:pPr>
              <w:spacing w:after="0" w:line="20" w:lineRule="atLeast"/>
              <w:ind w:right="5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0,73 (0,57; 0,93) </w:t>
            </w:r>
          </w:p>
        </w:tc>
      </w:tr>
      <w:tr w:rsidR="00D77C3D" w14:paraId="7ADAD7B4" w14:textId="77777777" w:rsidTr="00873FF7">
        <w:trPr>
          <w:trHeight w:val="264"/>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1150DD58"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Р мәні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66483309"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0,008 </w:t>
            </w:r>
          </w:p>
        </w:tc>
      </w:tr>
      <w:tr w:rsidR="00D77C3D" w14:paraId="5297495C" w14:textId="77777777" w:rsidTr="00873FF7">
        <w:trPr>
          <w:trHeight w:val="516"/>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389202C3" w14:textId="77777777" w:rsidR="00127040" w:rsidRPr="00C473D3" w:rsidRDefault="000A0115" w:rsidP="00873FF7">
            <w:pPr>
              <w:spacing w:after="0" w:line="20" w:lineRule="atLeast"/>
              <w:ind w:right="1430"/>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Жауап жиілігі, % </w:t>
            </w:r>
            <w:r w:rsidRPr="00C473D3">
              <w:rPr>
                <w:rFonts w:ascii="Times New Roman" w:eastAsia="Times New Roman" w:hAnsi="Times New Roman"/>
                <w:sz w:val="24"/>
                <w:szCs w:val="24"/>
                <w:lang w:val="kk-KZ"/>
              </w:rPr>
              <w:t>(95% СА)</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5480BBBF"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10,3 </w:t>
            </w:r>
          </w:p>
          <w:p w14:paraId="69AF5E1C"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(5,9; 16,4) </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07BA3C34"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6,9 </w:t>
            </w:r>
          </w:p>
          <w:p w14:paraId="0EA45D2D" w14:textId="77777777" w:rsidR="00127040" w:rsidRPr="00C473D3" w:rsidRDefault="000A0115" w:rsidP="00873FF7">
            <w:pPr>
              <w:spacing w:after="0" w:line="20" w:lineRule="atLeast"/>
              <w:ind w:right="59"/>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(3,4; 12,3) </w:t>
            </w:r>
          </w:p>
        </w:tc>
      </w:tr>
      <w:tr w:rsidR="00D77C3D" w14:paraId="78396F8B" w14:textId="77777777" w:rsidTr="00873FF7">
        <w:trPr>
          <w:trHeight w:val="262"/>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10E6293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Қайтыс болғандар саны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8C8C254" w14:textId="77777777" w:rsidR="00127040" w:rsidRPr="00C473D3" w:rsidRDefault="000A0115" w:rsidP="00873FF7">
            <w:pPr>
              <w:spacing w:after="0" w:line="20" w:lineRule="atLeast"/>
              <w:ind w:right="58"/>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105 </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78D4010E" w14:textId="77777777" w:rsidR="00127040" w:rsidRPr="00C473D3" w:rsidRDefault="000A0115" w:rsidP="00873FF7">
            <w:pPr>
              <w:spacing w:after="0" w:line="20" w:lineRule="atLeast"/>
              <w:ind w:right="59"/>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113 </w:t>
            </w:r>
          </w:p>
        </w:tc>
      </w:tr>
      <w:tr w:rsidR="00D77C3D" w14:paraId="0FB941DA" w14:textId="77777777" w:rsidTr="00873FF7">
        <w:trPr>
          <w:trHeight w:val="516"/>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4E791245" w14:textId="77777777" w:rsidR="00127040" w:rsidRPr="00C473D3" w:rsidRDefault="000A0115" w:rsidP="00873FF7">
            <w:pPr>
              <w:spacing w:after="0" w:line="20" w:lineRule="atLeast"/>
              <w:ind w:right="20"/>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Медианалық жалпы тірі қалу</w:t>
            </w:r>
            <w:r w:rsidRPr="00C473D3">
              <w:rPr>
                <w:rFonts w:ascii="Times New Roman" w:eastAsia="Times New Roman" w:hAnsi="Times New Roman"/>
                <w:b/>
                <w:bCs/>
                <w:sz w:val="24"/>
                <w:szCs w:val="24"/>
                <w:vertAlign w:val="superscript"/>
                <w:lang w:val="kk-KZ"/>
              </w:rPr>
              <w:t>1</w:t>
            </w:r>
            <w:r w:rsidRPr="00C473D3">
              <w:rPr>
                <w:rFonts w:ascii="Times New Roman" w:eastAsia="Times New Roman" w:hAnsi="Times New Roman"/>
                <w:b/>
                <w:bCs/>
                <w:sz w:val="24"/>
                <w:szCs w:val="24"/>
                <w:lang w:val="kk-KZ"/>
              </w:rPr>
              <w:t xml:space="preserve">, ай </w:t>
            </w:r>
            <w:r w:rsidRPr="00C473D3">
              <w:rPr>
                <w:rFonts w:ascii="Times New Roman" w:eastAsia="Times New Roman" w:hAnsi="Times New Roman"/>
                <w:sz w:val="24"/>
                <w:szCs w:val="24"/>
                <w:lang w:val="kk-KZ"/>
              </w:rPr>
              <w:t>(95% СА)</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15BEB4C4" w14:textId="77777777" w:rsidR="00127040" w:rsidRPr="00C473D3" w:rsidRDefault="000A0115" w:rsidP="00873FF7">
            <w:pPr>
              <w:spacing w:after="0" w:line="20" w:lineRule="atLeast"/>
              <w:ind w:right="56"/>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14,0 </w:t>
            </w:r>
          </w:p>
          <w:p w14:paraId="5029728F"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(11,9; 17,2) </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611CA9FE" w14:textId="77777777" w:rsidR="00127040" w:rsidRPr="00C473D3" w:rsidRDefault="000A0115" w:rsidP="00873FF7">
            <w:pPr>
              <w:spacing w:after="0" w:line="20" w:lineRule="atLeast"/>
              <w:ind w:right="5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9,5 </w:t>
            </w:r>
          </w:p>
          <w:p w14:paraId="23B27182" w14:textId="77777777" w:rsidR="00127040" w:rsidRPr="00C473D3" w:rsidRDefault="000A0115" w:rsidP="00873FF7">
            <w:pPr>
              <w:spacing w:after="0" w:line="20" w:lineRule="atLeast"/>
              <w:ind w:right="59"/>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(7,6; 12,0) </w:t>
            </w:r>
          </w:p>
        </w:tc>
      </w:tr>
      <w:tr w:rsidR="00D77C3D" w14:paraId="0F3DB6BF" w14:textId="77777777" w:rsidTr="00873FF7">
        <w:trPr>
          <w:trHeight w:val="264"/>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511FEF7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Тәуекелдердің қатынасы (95% CI)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51323C3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0,74 (0,57; 0,97) </w:t>
            </w:r>
          </w:p>
        </w:tc>
      </w:tr>
      <w:tr w:rsidR="00D77C3D" w14:paraId="1695A97E" w14:textId="77777777" w:rsidTr="00873FF7">
        <w:trPr>
          <w:trHeight w:val="265"/>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4D9874E8"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Р мәні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6CC9D8F9"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0,026 </w:t>
            </w:r>
          </w:p>
        </w:tc>
      </w:tr>
    </w:tbl>
    <w:p w14:paraId="069402F2" w14:textId="77777777" w:rsidR="00127040" w:rsidRPr="00C473D3" w:rsidRDefault="000A0115" w:rsidP="00127040">
      <w:pPr>
        <w:spacing w:after="0" w:line="20" w:lineRule="atLeast"/>
        <w:ind w:left="-5" w:right="7"/>
        <w:jc w:val="both"/>
        <w:rPr>
          <w:rFonts w:ascii="Times New Roman" w:hAnsi="Times New Roman"/>
          <w:sz w:val="24"/>
          <w:szCs w:val="24"/>
        </w:rPr>
      </w:pPr>
      <w:r w:rsidRPr="00C473D3">
        <w:rPr>
          <w:rFonts w:ascii="Times New Roman" w:hAnsi="Times New Roman"/>
          <w:sz w:val="24"/>
          <w:szCs w:val="24"/>
          <w:lang w:val="kk-KZ"/>
        </w:rPr>
        <w:t xml:space="preserve">PFS = прогрессиясыз тірі қалу; CI = сенімділік аралығы. </w:t>
      </w:r>
    </w:p>
    <w:p w14:paraId="7741ABEB" w14:textId="77777777" w:rsidR="00127040" w:rsidRPr="00C473D3" w:rsidRDefault="000A0115" w:rsidP="00FD2C38">
      <w:pPr>
        <w:spacing w:after="0" w:line="20" w:lineRule="atLeast"/>
        <w:ind w:left="-5" w:right="7"/>
        <w:jc w:val="both"/>
        <w:rPr>
          <w:rFonts w:ascii="Times New Roman" w:hAnsi="Times New Roman"/>
          <w:sz w:val="24"/>
          <w:szCs w:val="24"/>
        </w:rPr>
      </w:pPr>
      <w:r w:rsidRPr="00C473D3">
        <w:rPr>
          <w:rFonts w:ascii="Times New Roman" w:hAnsi="Times New Roman"/>
          <w:sz w:val="24"/>
          <w:szCs w:val="24"/>
          <w:vertAlign w:val="superscript"/>
          <w:lang w:val="kk-KZ"/>
        </w:rPr>
        <w:t>1</w:t>
      </w:r>
      <w:r w:rsidRPr="00C473D3">
        <w:rPr>
          <w:rFonts w:ascii="Times New Roman" w:hAnsi="Times New Roman"/>
          <w:sz w:val="24"/>
          <w:szCs w:val="24"/>
          <w:lang w:val="kk-KZ"/>
        </w:rPr>
        <w:t xml:space="preserve">Каплана-Майер әдісімен бағалау </w:t>
      </w:r>
    </w:p>
    <w:p w14:paraId="2D6D4471" w14:textId="6403E00F" w:rsidR="00127040" w:rsidRPr="00C473D3" w:rsidRDefault="000A0115" w:rsidP="00930188">
      <w:pPr>
        <w:spacing w:after="0" w:line="20" w:lineRule="atLeast"/>
        <w:jc w:val="both"/>
        <w:rPr>
          <w:rFonts w:ascii="Times New Roman" w:hAnsi="Times New Roman"/>
          <w:b/>
          <w:sz w:val="24"/>
          <w:szCs w:val="24"/>
        </w:rPr>
      </w:pPr>
      <w:r w:rsidRPr="00C473D3">
        <w:rPr>
          <w:rFonts w:ascii="Times New Roman" w:hAnsi="Times New Roman"/>
          <w:b/>
          <w:bCs/>
          <w:sz w:val="24"/>
          <w:szCs w:val="24"/>
          <w:lang w:val="kk-KZ"/>
        </w:rPr>
        <w:t>5-кесте</w:t>
      </w:r>
      <w:r w:rsidR="00930188" w:rsidRPr="00930188">
        <w:rPr>
          <w:rFonts w:ascii="Times New Roman" w:hAnsi="Times New Roman"/>
          <w:b/>
          <w:bCs/>
          <w:sz w:val="24"/>
          <w:szCs w:val="24"/>
        </w:rPr>
        <w:t xml:space="preserve">. </w:t>
      </w:r>
      <w:r w:rsidRPr="00C473D3">
        <w:rPr>
          <w:rFonts w:ascii="Times New Roman" w:hAnsi="Times New Roman"/>
          <w:b/>
          <w:bCs/>
          <w:sz w:val="24"/>
          <w:szCs w:val="24"/>
          <w:lang w:val="kk-KZ"/>
        </w:rPr>
        <w:t>Гормон рецепторының теріс мәні бар зерттеулерде прогрессиясыз тірі қалу және жалпы тірі қалу туралы қысқаша мәлімет.</w:t>
      </w:r>
    </w:p>
    <w:tbl>
      <w:tblPr>
        <w:tblW w:w="9075" w:type="dxa"/>
        <w:tblInd w:w="106" w:type="dxa"/>
        <w:tblCellMar>
          <w:top w:w="7" w:type="dxa"/>
          <w:left w:w="106" w:type="dxa"/>
          <w:right w:w="115" w:type="dxa"/>
        </w:tblCellMar>
        <w:tblLook w:val="04A0" w:firstRow="1" w:lastRow="0" w:firstColumn="1" w:lastColumn="0" w:noHBand="0" w:noVBand="1"/>
      </w:tblPr>
      <w:tblGrid>
        <w:gridCol w:w="2590"/>
        <w:gridCol w:w="3240"/>
        <w:gridCol w:w="3245"/>
      </w:tblGrid>
      <w:tr w:rsidR="00D77C3D" w14:paraId="578DDAB0" w14:textId="77777777" w:rsidTr="00873FF7">
        <w:trPr>
          <w:trHeight w:val="262"/>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53E77672"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b/>
                <w:bCs/>
                <w:sz w:val="24"/>
                <w:szCs w:val="24"/>
                <w:lang w:val="ru"/>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71B7D39F"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Прогрессиясыз тірі қалудың орташа мәні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343E5D4B" w14:textId="77777777" w:rsidR="00127040" w:rsidRPr="00C473D3" w:rsidRDefault="000A0115" w:rsidP="00873FF7">
            <w:pPr>
              <w:spacing w:after="0" w:line="20" w:lineRule="atLeast"/>
              <w:ind w:left="55"/>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Жалпы тірі қалудың орташа мәні </w:t>
            </w:r>
          </w:p>
        </w:tc>
      </w:tr>
      <w:tr w:rsidR="00D77C3D" w14:paraId="70D76809" w14:textId="77777777" w:rsidTr="00873FF7">
        <w:trPr>
          <w:trHeight w:val="521"/>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780B86F9"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Лапатиниб + трастузумаб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D45F404"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15,4 апта (8,4; 16,9)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2FAF3D82"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17,2 ай (13,9; 19,2) </w:t>
            </w:r>
          </w:p>
        </w:tc>
      </w:tr>
      <w:tr w:rsidR="00D77C3D" w14:paraId="39E3BB18" w14:textId="77777777" w:rsidTr="00873FF7">
        <w:trPr>
          <w:trHeight w:val="262"/>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12BF09DF"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Лапатиниб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5EA795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8,2 апта (7,4; 9,3)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4F3EDE51"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8,9 апта (6,7; 11,8) </w:t>
            </w:r>
          </w:p>
        </w:tc>
      </w:tr>
      <w:tr w:rsidR="00D77C3D" w14:paraId="202B5C80" w14:textId="77777777" w:rsidTr="00873FF7">
        <w:trPr>
          <w:trHeight w:val="264"/>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708D503F"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Тәуекелдердің арақатынасы (95% CI)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784C7A7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0,73 (0,52; 1,03)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29042C7C" w14:textId="77777777" w:rsidR="00127040" w:rsidRPr="00C473D3" w:rsidRDefault="000A0115" w:rsidP="00873FF7">
            <w:pPr>
              <w:spacing w:after="0" w:line="20" w:lineRule="atLeast"/>
              <w:ind w:left="2"/>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0,62 (0,42; 0,90) </w:t>
            </w:r>
          </w:p>
        </w:tc>
      </w:tr>
    </w:tbl>
    <w:p w14:paraId="3A8870F8" w14:textId="77777777" w:rsidR="00127040" w:rsidRPr="00C473D3" w:rsidRDefault="000A0115" w:rsidP="00127040">
      <w:pPr>
        <w:pStyle w:val="2"/>
        <w:spacing w:before="0" w:after="0" w:line="20" w:lineRule="atLeast"/>
        <w:jc w:val="both"/>
        <w:rPr>
          <w:rFonts w:ascii="Times New Roman" w:hAnsi="Times New Roman"/>
          <w:b w:val="0"/>
          <w:sz w:val="24"/>
          <w:szCs w:val="24"/>
          <w:u w:val="single"/>
        </w:rPr>
      </w:pPr>
      <w:r w:rsidRPr="00C473D3">
        <w:rPr>
          <w:rFonts w:ascii="Times New Roman" w:hAnsi="Times New Roman"/>
          <w:b w:val="0"/>
          <w:sz w:val="24"/>
          <w:szCs w:val="24"/>
          <w:u w:val="single"/>
          <w:lang w:val="kk-KZ"/>
        </w:rPr>
        <w:t xml:space="preserve">Лапатиниб пен летрозолды біріктіріп қолдану </w:t>
      </w:r>
    </w:p>
    <w:p w14:paraId="1F62A519" w14:textId="77777777" w:rsidR="00127040" w:rsidRPr="00C473D3" w:rsidRDefault="000A0115" w:rsidP="00127040">
      <w:pPr>
        <w:spacing w:after="0" w:line="20" w:lineRule="atLeast"/>
        <w:jc w:val="both"/>
        <w:rPr>
          <w:rFonts w:ascii="Times New Roman" w:hAnsi="Times New Roman"/>
          <w:sz w:val="24"/>
          <w:szCs w:val="24"/>
        </w:rPr>
      </w:pPr>
      <w:r w:rsidRPr="00C473D3">
        <w:rPr>
          <w:rFonts w:ascii="Times New Roman" w:hAnsi="Times New Roman"/>
          <w:sz w:val="24"/>
          <w:szCs w:val="24"/>
          <w:lang w:val="kk-KZ"/>
        </w:rPr>
        <w:t xml:space="preserve">Лапатиниб гормондық позитивті (оң эстроген рецепторы және /немесе оң прогестерон рецепторы) сүт безінің таралған немесе метастатикалық  обыры бар менопаузадан кейінгі кезеңде әйелдерді емдеу үшін летрозолмен біріктірілімде зерттелді. </w:t>
      </w:r>
    </w:p>
    <w:p w14:paraId="2664831B"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III фазаны зерттеу (EGF30008) рандомизацияланған, салыстырмалы жасырын және плацебо бақыланатын зерттеу болды. Бұл зерттеуге метастатикалық ауруға алдын ала ем қабылдамаған пациенттер қатысты. </w:t>
      </w:r>
    </w:p>
    <w:p w14:paraId="7906602C"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HER2 гиперэкспрессиясы бар топқа алдын-ала трастузумаб қабылдаған 2 пациент, алдын-ала ароматаза тежегішін қабылдаған 2 пациент және жартысына жуығы тамоксифен қабылдаған пациенттер енгізілді. </w:t>
      </w:r>
    </w:p>
    <w:p w14:paraId="04A46F20"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Пациенттер күніне бір рет 2,5 мг летрозолды күніне бір рет 1500 мг лапатинибпен немесе плацебомен летрозолды үйлесімде қабылдайтын топтарға бөлінді. Рандомизация аурудың аймақтарына және алдын ала адъювантты антиэстрогендік терапияны тоқтатқаннан кейінгі уақытқа байланысты стратификацияланды. HER2 рецепторының мәртебесі кейінірек орталық зертханалық тестілеу арқылы анықталды. Емдеу үшін таңдалған барлық пациенттердің ішінде 219 пациентте HER2 рецепторының гиперэкспрессиясы бар ісіктер болды, олар тиімділікті талдау үшін алдын ала анықталған бастапқы топты құрады. Зерттеуде теріс HER2 ісіктері бар 952 пациент және HER2 мәртебесі расталмаған ісіктері бар 115 пациент болды (ісік үлгісі жоқ, талдау нәтижелері жоқ немесе басқа себептер бойынша). </w:t>
      </w:r>
    </w:p>
    <w:p w14:paraId="3347CAE9" w14:textId="77777777" w:rsidR="00127040" w:rsidRPr="005D4D1C" w:rsidRDefault="000A0115" w:rsidP="00FD2C38">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Сүт безінің HER2 гиперэкспрессиясымен метастатикалық обыры бар пациенттерде летрозолды плацебомен бірге қолданумен салыстырғанда летрозолды лапатинибпен қолданғанда сарапшылар анықтаған прогрессиясыз тірі қалу айтарлықтай жоғары болды. </w:t>
      </w:r>
      <w:r w:rsidRPr="00C473D3">
        <w:rPr>
          <w:rFonts w:ascii="Times New Roman" w:hAnsi="Times New Roman"/>
          <w:sz w:val="24"/>
          <w:szCs w:val="24"/>
          <w:lang w:val="kk-KZ"/>
        </w:rPr>
        <w:lastRenderedPageBreak/>
        <w:t xml:space="preserve">HER2 теріс мәні бар топта летрозолды плацебомен бірге қолданумен салыстырғанда летрозолды лапатинибпен бірге қолданғанда прогрессиясыз тірі қалуда айтарлықтай айырмашылық болған жоқ (қараңыз. 6-кесте). </w:t>
      </w:r>
    </w:p>
    <w:p w14:paraId="64400D88" w14:textId="47F519A4" w:rsidR="00127040" w:rsidRPr="005D4D1C" w:rsidRDefault="000A0115" w:rsidP="0049207B">
      <w:pPr>
        <w:spacing w:after="0" w:line="20" w:lineRule="atLeast"/>
        <w:ind w:left="-5" w:right="7"/>
        <w:jc w:val="both"/>
        <w:rPr>
          <w:rFonts w:ascii="Times New Roman" w:hAnsi="Times New Roman"/>
          <w:b/>
          <w:sz w:val="24"/>
          <w:szCs w:val="24"/>
          <w:lang w:val="kk-KZ"/>
        </w:rPr>
      </w:pPr>
      <w:r w:rsidRPr="00C473D3">
        <w:rPr>
          <w:rFonts w:ascii="Times New Roman" w:hAnsi="Times New Roman"/>
          <w:b/>
          <w:bCs/>
          <w:sz w:val="24"/>
          <w:szCs w:val="24"/>
          <w:lang w:val="kk-KZ"/>
        </w:rPr>
        <w:t>6-кесте. EGF30008 (лапатиниб/летрозол) зерттеуінен алынған прогрессиясыз тірі қалуға қатысты деректер</w:t>
      </w:r>
    </w:p>
    <w:tbl>
      <w:tblPr>
        <w:tblW w:w="9074" w:type="dxa"/>
        <w:tblInd w:w="108" w:type="dxa"/>
        <w:tblCellMar>
          <w:top w:w="7" w:type="dxa"/>
          <w:right w:w="82" w:type="dxa"/>
        </w:tblCellMar>
        <w:tblLook w:val="04A0" w:firstRow="1" w:lastRow="0" w:firstColumn="1" w:lastColumn="0" w:noHBand="0" w:noVBand="1"/>
      </w:tblPr>
      <w:tblGrid>
        <w:gridCol w:w="2160"/>
        <w:gridCol w:w="1774"/>
        <w:gridCol w:w="1683"/>
        <w:gridCol w:w="1774"/>
        <w:gridCol w:w="1683"/>
      </w:tblGrid>
      <w:tr w:rsidR="00D77C3D" w14:paraId="5677780E" w14:textId="77777777" w:rsidTr="00873FF7">
        <w:trPr>
          <w:trHeight w:val="262"/>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53FFCA" w14:textId="77777777" w:rsidR="00127040" w:rsidRPr="005D4D1C" w:rsidRDefault="000A0115" w:rsidP="00873FF7">
            <w:pPr>
              <w:spacing w:after="0" w:line="20" w:lineRule="atLeast"/>
              <w:jc w:val="both"/>
              <w:rPr>
                <w:rFonts w:ascii="Times New Roman" w:eastAsia="Times New Roman" w:hAnsi="Times New Roman"/>
                <w:sz w:val="24"/>
                <w:szCs w:val="24"/>
                <w:lang w:val="kk-KZ"/>
              </w:rPr>
            </w:pPr>
            <w:r w:rsidRPr="005D4D1C">
              <w:rPr>
                <w:rFonts w:ascii="Times New Roman" w:eastAsia="Times New Roman" w:hAnsi="Times New Roman"/>
                <w:sz w:val="24"/>
                <w:szCs w:val="24"/>
                <w:lang w:val="kk-KZ"/>
              </w:rPr>
              <w:t xml:space="preserve">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198892A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HER2 гиперэкспрессиясы бар пациенттер тобы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276E8881"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Теріс HER2 бар пациенттер тобы </w:t>
            </w:r>
          </w:p>
        </w:tc>
      </w:tr>
      <w:tr w:rsidR="00D77C3D" w14:paraId="5F5000A6" w14:textId="77777777" w:rsidTr="00873FF7">
        <w:trPr>
          <w:trHeight w:val="264"/>
        </w:trPr>
        <w:tc>
          <w:tcPr>
            <w:tcW w:w="2160" w:type="dxa"/>
            <w:vMerge/>
            <w:tcBorders>
              <w:top w:val="nil"/>
              <w:left w:val="single" w:sz="4" w:space="0" w:color="000000"/>
              <w:bottom w:val="nil"/>
              <w:right w:val="single" w:sz="4" w:space="0" w:color="000000"/>
            </w:tcBorders>
            <w:shd w:val="clear" w:color="auto" w:fill="auto"/>
          </w:tcPr>
          <w:p w14:paraId="40459DF5" w14:textId="77777777" w:rsidR="00127040" w:rsidRPr="00C473D3" w:rsidRDefault="00127040" w:rsidP="00873FF7">
            <w:pPr>
              <w:spacing w:after="0" w:line="20" w:lineRule="atLeast"/>
              <w:jc w:val="both"/>
              <w:rPr>
                <w:rFonts w:ascii="Times New Roman" w:eastAsia="Times New Roman" w:hAnsi="Times New Roman"/>
                <w:sz w:val="24"/>
                <w:szCs w:val="24"/>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9C996E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111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5AFAA2F"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108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F20ADBB"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478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3B5C4E9"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N = 474 </w:t>
            </w:r>
          </w:p>
        </w:tc>
      </w:tr>
      <w:tr w:rsidR="00D77C3D" w14:paraId="3CF26BAF" w14:textId="77777777" w:rsidTr="00873FF7">
        <w:trPr>
          <w:trHeight w:val="1022"/>
        </w:trPr>
        <w:tc>
          <w:tcPr>
            <w:tcW w:w="2160" w:type="dxa"/>
            <w:vMerge/>
            <w:tcBorders>
              <w:top w:val="nil"/>
              <w:left w:val="single" w:sz="4" w:space="0" w:color="000000"/>
              <w:bottom w:val="single" w:sz="4" w:space="0" w:color="000000"/>
              <w:right w:val="single" w:sz="4" w:space="0" w:color="000000"/>
            </w:tcBorders>
            <w:shd w:val="clear" w:color="auto" w:fill="auto"/>
          </w:tcPr>
          <w:p w14:paraId="1B35D0A0" w14:textId="77777777" w:rsidR="00127040" w:rsidRPr="00C473D3" w:rsidRDefault="00127040" w:rsidP="00873FF7">
            <w:pPr>
              <w:spacing w:after="0" w:line="20" w:lineRule="atLeast"/>
              <w:jc w:val="both"/>
              <w:rPr>
                <w:rFonts w:ascii="Times New Roman" w:eastAsia="Times New Roman" w:hAnsi="Times New Roman"/>
                <w:sz w:val="24"/>
                <w:szCs w:val="24"/>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7A91485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Лапатиниб 1500 мг </w:t>
            </w:r>
          </w:p>
          <w:p w14:paraId="32901C2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/тәулігіне </w:t>
            </w:r>
          </w:p>
          <w:p w14:paraId="5D93C33A"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 летрозол </w:t>
            </w:r>
          </w:p>
          <w:p w14:paraId="08B56C7A"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тәулігіне 2,5 мг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30F471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Летрозол </w:t>
            </w:r>
          </w:p>
          <w:p w14:paraId="6C26C46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тәулігіне 2,5 мг </w:t>
            </w:r>
          </w:p>
          <w:p w14:paraId="264959B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 плацебо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7049C06"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Лапатиниб 1500 мг </w:t>
            </w:r>
          </w:p>
          <w:p w14:paraId="36E26F64"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/тәулігіне </w:t>
            </w:r>
          </w:p>
          <w:p w14:paraId="27D827A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 летрозол </w:t>
            </w:r>
          </w:p>
          <w:p w14:paraId="2A76AAE2"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тәулігіне 2,5 мг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58658D3"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Летрозол </w:t>
            </w:r>
          </w:p>
          <w:p w14:paraId="2E0A5D63"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тәулігіне 2,5 мг </w:t>
            </w:r>
          </w:p>
          <w:p w14:paraId="5EAD646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 плацебо </w:t>
            </w:r>
          </w:p>
        </w:tc>
      </w:tr>
      <w:tr w:rsidR="00D77C3D" w14:paraId="20B54C54" w14:textId="77777777" w:rsidTr="00873FF7">
        <w:trPr>
          <w:trHeight w:val="266"/>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B19FA5B"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Прогрессиясыз тірі қалудың орташа мәні, апта (95% CI)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EA65078"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35,4 </w:t>
            </w:r>
          </w:p>
          <w:p w14:paraId="7D69FC82"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(24,1; 39,4)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608FD3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13,0 </w:t>
            </w:r>
          </w:p>
          <w:p w14:paraId="01E7EA4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(12,0; 23,7)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391436FB"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59,7 </w:t>
            </w:r>
          </w:p>
          <w:p w14:paraId="578E1F1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(48,6; 69,7)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24A9E87"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58,3 </w:t>
            </w:r>
          </w:p>
          <w:p w14:paraId="03B0623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(47,9; 62,0) </w:t>
            </w:r>
          </w:p>
        </w:tc>
      </w:tr>
      <w:tr w:rsidR="00D77C3D" w14:paraId="70109568" w14:textId="77777777" w:rsidTr="00873FF7">
        <w:trPr>
          <w:trHeight w:val="262"/>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63DE348"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Тәуекелдердің арақатынасы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6F453BA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0,71 (0,53; 0,96)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4E0D5206"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0,90 (0,77; 1,05) </w:t>
            </w:r>
          </w:p>
        </w:tc>
      </w:tr>
      <w:tr w:rsidR="00D77C3D" w14:paraId="4C89B3A6" w14:textId="77777777" w:rsidTr="00873FF7">
        <w:trPr>
          <w:trHeight w:val="264"/>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7409FD5" w14:textId="77777777" w:rsidR="00127040" w:rsidRPr="00C473D3" w:rsidRDefault="000A0115" w:rsidP="00873FF7">
            <w:pPr>
              <w:spacing w:after="0" w:line="20" w:lineRule="atLeast"/>
              <w:ind w:left="566"/>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Р-мәні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15407B5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0,019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65C83442"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0,188 </w:t>
            </w:r>
          </w:p>
        </w:tc>
      </w:tr>
      <w:tr w:rsidR="00D77C3D" w14:paraId="039D4A6C" w14:textId="77777777" w:rsidTr="00873FF7">
        <w:trPr>
          <w:trHeight w:val="517"/>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9BDC1D1"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Объективті жауаптардың жиілігі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5FC158F3"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27,9%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77E3CF2"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14,8%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0F4BB2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32,6%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BC733A"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31,6% </w:t>
            </w:r>
          </w:p>
        </w:tc>
      </w:tr>
      <w:tr w:rsidR="00D77C3D" w14:paraId="5284CC05" w14:textId="77777777" w:rsidTr="00873FF7">
        <w:trPr>
          <w:trHeight w:val="264"/>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43CB640" w14:textId="77777777" w:rsidR="00127040" w:rsidRPr="00C473D3" w:rsidRDefault="000A0115" w:rsidP="00873FF7">
            <w:pPr>
              <w:spacing w:after="0" w:line="20" w:lineRule="atLeast"/>
              <w:ind w:left="19"/>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Мүмкіндіктердің арақатынасы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682884BF"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0,4 (0,2; 0,9)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757988DF"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0,9 (0,7; 1,3) </w:t>
            </w:r>
          </w:p>
        </w:tc>
      </w:tr>
      <w:tr w:rsidR="00D77C3D" w14:paraId="211B6C75" w14:textId="77777777" w:rsidTr="00873FF7">
        <w:trPr>
          <w:trHeight w:val="262"/>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B93C324" w14:textId="77777777" w:rsidR="00127040" w:rsidRPr="00C473D3" w:rsidRDefault="000A0115" w:rsidP="00873FF7">
            <w:pPr>
              <w:spacing w:after="0" w:line="20" w:lineRule="atLeast"/>
              <w:ind w:left="566"/>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Р-мәні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7EB2286C"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0,021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13C5AA1A"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0,26 </w:t>
            </w:r>
          </w:p>
        </w:tc>
      </w:tr>
      <w:tr w:rsidR="00D77C3D" w14:paraId="6EF24D6F" w14:textId="77777777" w:rsidTr="00873FF7">
        <w:trPr>
          <w:trHeight w:val="516"/>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41C832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Клиникалық тиімділіктің жиілігі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4DFF696"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47,7%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F03B1A8"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28,7%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2BC359B7"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58,2%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055999A"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31,6% </w:t>
            </w:r>
          </w:p>
        </w:tc>
      </w:tr>
      <w:tr w:rsidR="00D77C3D" w14:paraId="22086014" w14:textId="77777777" w:rsidTr="00873FF7">
        <w:trPr>
          <w:trHeight w:val="264"/>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09186C5" w14:textId="77777777" w:rsidR="00127040" w:rsidRPr="00C473D3" w:rsidRDefault="000A0115" w:rsidP="00873FF7">
            <w:pPr>
              <w:spacing w:after="0" w:line="20" w:lineRule="atLeast"/>
              <w:ind w:left="19"/>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Мүмкіндіктердің арақатынасы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49EC2DE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0,4 (0,2; 0,8) </w:t>
            </w:r>
          </w:p>
        </w:tc>
        <w:tc>
          <w:tcPr>
            <w:tcW w:w="3457" w:type="dxa"/>
            <w:gridSpan w:val="2"/>
            <w:tcBorders>
              <w:top w:val="single" w:sz="4" w:space="0" w:color="000000"/>
              <w:left w:val="single" w:sz="4" w:space="0" w:color="000000"/>
              <w:bottom w:val="single" w:sz="4" w:space="0" w:color="000000"/>
              <w:right w:val="single" w:sz="4" w:space="0" w:color="000000"/>
            </w:tcBorders>
            <w:shd w:val="clear" w:color="auto" w:fill="auto"/>
          </w:tcPr>
          <w:p w14:paraId="04AAA854"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1,0 (0,7; 1,2) </w:t>
            </w:r>
          </w:p>
        </w:tc>
      </w:tr>
      <w:tr w:rsidR="00D77C3D" w14:paraId="2EFA9A70" w14:textId="77777777" w:rsidTr="00873FF7">
        <w:trPr>
          <w:trHeight w:val="266"/>
        </w:trPr>
        <w:tc>
          <w:tcPr>
            <w:tcW w:w="2160" w:type="dxa"/>
            <w:tcBorders>
              <w:top w:val="single" w:sz="4" w:space="0" w:color="000000"/>
              <w:left w:val="single" w:sz="4" w:space="0" w:color="000000"/>
              <w:bottom w:val="single" w:sz="8" w:space="0" w:color="000000"/>
              <w:right w:val="single" w:sz="4" w:space="0" w:color="000000"/>
            </w:tcBorders>
            <w:shd w:val="clear" w:color="auto" w:fill="auto"/>
          </w:tcPr>
          <w:p w14:paraId="365AB6A2" w14:textId="77777777" w:rsidR="00127040" w:rsidRPr="00C473D3" w:rsidRDefault="000A0115" w:rsidP="00873FF7">
            <w:pPr>
              <w:spacing w:after="0" w:line="20" w:lineRule="atLeast"/>
              <w:ind w:left="566"/>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Р-мәні </w:t>
            </w:r>
          </w:p>
        </w:tc>
        <w:tc>
          <w:tcPr>
            <w:tcW w:w="3457" w:type="dxa"/>
            <w:gridSpan w:val="2"/>
            <w:tcBorders>
              <w:top w:val="single" w:sz="4" w:space="0" w:color="000000"/>
              <w:left w:val="single" w:sz="4" w:space="0" w:color="000000"/>
              <w:bottom w:val="single" w:sz="8" w:space="0" w:color="000000"/>
              <w:right w:val="single" w:sz="4" w:space="0" w:color="000000"/>
            </w:tcBorders>
            <w:shd w:val="clear" w:color="auto" w:fill="auto"/>
          </w:tcPr>
          <w:p w14:paraId="511D36BF"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0,003 </w:t>
            </w:r>
          </w:p>
        </w:tc>
        <w:tc>
          <w:tcPr>
            <w:tcW w:w="3457" w:type="dxa"/>
            <w:gridSpan w:val="2"/>
            <w:tcBorders>
              <w:top w:val="single" w:sz="4" w:space="0" w:color="000000"/>
              <w:left w:val="single" w:sz="4" w:space="0" w:color="000000"/>
              <w:bottom w:val="single" w:sz="8" w:space="0" w:color="000000"/>
              <w:right w:val="single" w:sz="4" w:space="0" w:color="000000"/>
            </w:tcBorders>
            <w:shd w:val="clear" w:color="auto" w:fill="auto"/>
          </w:tcPr>
          <w:p w14:paraId="68CA2BAE"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0,199 </w:t>
            </w:r>
          </w:p>
        </w:tc>
      </w:tr>
      <w:tr w:rsidR="00D77C3D" w14:paraId="01FB672A" w14:textId="77777777" w:rsidTr="00873FF7">
        <w:trPr>
          <w:trHeight w:val="1085"/>
        </w:trPr>
        <w:tc>
          <w:tcPr>
            <w:tcW w:w="9074" w:type="dxa"/>
            <w:gridSpan w:val="5"/>
            <w:tcBorders>
              <w:top w:val="single" w:sz="8" w:space="0" w:color="000000"/>
              <w:left w:val="single" w:sz="4" w:space="0" w:color="000000"/>
              <w:bottom w:val="single" w:sz="4" w:space="0" w:color="000000"/>
              <w:right w:val="single" w:sz="4" w:space="0" w:color="000000"/>
            </w:tcBorders>
            <w:shd w:val="clear" w:color="auto" w:fill="auto"/>
          </w:tcPr>
          <w:p w14:paraId="5F03879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i/>
                <w:iCs/>
                <w:sz w:val="24"/>
                <w:szCs w:val="24"/>
                <w:lang w:val="kk-KZ"/>
              </w:rPr>
              <w:t xml:space="preserve">CI = сенімділік аралығы </w:t>
            </w:r>
          </w:p>
          <w:p w14:paraId="25748717"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HER2 гиперэкспрессиясы = оң IHC 3 + және / немесе FISH; теріс HER2 = теріс IHC 0, 1+ немесе 2 + және / немесе FISH </w:t>
            </w:r>
          </w:p>
          <w:p w14:paraId="026F46CA"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Клиникалық тиімділік жиілігі толық жауап және ішінара жауап, сонымен қатар 6 ай ішінде аурудың тұрақтануы ретінде анықталды. </w:t>
            </w:r>
          </w:p>
        </w:tc>
      </w:tr>
    </w:tbl>
    <w:p w14:paraId="24B15715" w14:textId="77777777" w:rsidR="00127040" w:rsidRPr="00C473D3" w:rsidRDefault="000A0115" w:rsidP="00733FE5">
      <w:pPr>
        <w:spacing w:after="0" w:line="20" w:lineRule="atLeast"/>
        <w:ind w:right="7"/>
        <w:jc w:val="both"/>
        <w:rPr>
          <w:rFonts w:ascii="Times New Roman" w:hAnsi="Times New Roman"/>
          <w:sz w:val="24"/>
          <w:szCs w:val="24"/>
        </w:rPr>
      </w:pPr>
      <w:r w:rsidRPr="00C473D3">
        <w:rPr>
          <w:rFonts w:ascii="Times New Roman" w:hAnsi="Times New Roman"/>
          <w:sz w:val="24"/>
          <w:szCs w:val="24"/>
          <w:lang w:val="kk-KZ"/>
        </w:rPr>
        <w:t xml:space="preserve">Прогрессиясыз тірі қалудың соңғы талдауы кезінде (2,64 жыл ішінде медианалық бақылаумен) жалпы тірі қалу бойынша деректер әлі дайын болған жоқ және HER2-оң популяциядағы емдеу топтары арасында айтарлықтай айырмашылықтар болған жоқ; бұл деректер кейінгі бақылау уақытының ұлғаюымен өзгерген жоқ (кейінгі бақылаудың медианалық кезеңі &gt;7,5 жыл; 7-кесте). </w:t>
      </w:r>
    </w:p>
    <w:p w14:paraId="42667A2B" w14:textId="206CED2C" w:rsidR="00127040" w:rsidRPr="0049207B" w:rsidRDefault="000A0115" w:rsidP="0049207B">
      <w:pPr>
        <w:spacing w:after="0" w:line="20" w:lineRule="atLeast"/>
        <w:rPr>
          <w:rFonts w:ascii="Times New Roman" w:hAnsi="Times New Roman"/>
          <w:b/>
          <w:sz w:val="24"/>
          <w:szCs w:val="24"/>
          <w:lang w:val="kk-KZ"/>
        </w:rPr>
      </w:pPr>
      <w:r w:rsidRPr="00C473D3">
        <w:rPr>
          <w:rFonts w:ascii="Times New Roman" w:hAnsi="Times New Roman"/>
          <w:b/>
          <w:bCs/>
          <w:sz w:val="24"/>
          <w:szCs w:val="24"/>
          <w:lang w:val="kk-KZ"/>
        </w:rPr>
        <w:t>7-кесте. EGF30008 зерттеуінен алынған жалпы тірі қалу нәтижелері (тек оң HER2 тобында)</w:t>
      </w:r>
    </w:p>
    <w:tbl>
      <w:tblPr>
        <w:tblW w:w="8997" w:type="dxa"/>
        <w:tblInd w:w="108" w:type="dxa"/>
        <w:tblCellMar>
          <w:top w:w="7" w:type="dxa"/>
          <w:right w:w="62" w:type="dxa"/>
        </w:tblCellMar>
        <w:tblLook w:val="04A0" w:firstRow="1" w:lastRow="0" w:firstColumn="1" w:lastColumn="0" w:noHBand="0" w:noVBand="1"/>
      </w:tblPr>
      <w:tblGrid>
        <w:gridCol w:w="3437"/>
        <w:gridCol w:w="2410"/>
        <w:gridCol w:w="3150"/>
      </w:tblGrid>
      <w:tr w:rsidR="00D77C3D" w14:paraId="729F883E" w14:textId="77777777" w:rsidTr="00873FF7">
        <w:trPr>
          <w:trHeight w:val="1022"/>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7069A8FF" w14:textId="77777777" w:rsidR="00127040" w:rsidRPr="0049207B" w:rsidRDefault="000A0115" w:rsidP="00873FF7">
            <w:pPr>
              <w:spacing w:after="0" w:line="20" w:lineRule="atLeast"/>
              <w:jc w:val="both"/>
              <w:rPr>
                <w:rFonts w:ascii="Times New Roman" w:eastAsia="Times New Roman" w:hAnsi="Times New Roman"/>
                <w:sz w:val="24"/>
                <w:szCs w:val="24"/>
                <w:lang w:val="kk-KZ"/>
              </w:rPr>
            </w:pPr>
            <w:r w:rsidRPr="0049207B">
              <w:rPr>
                <w:rFonts w:ascii="Times New Roman" w:eastAsia="Times New Roman" w:hAnsi="Times New Roman"/>
                <w:sz w:val="24"/>
                <w:szCs w:val="24"/>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8535A0" w14:textId="0DD385A8" w:rsidR="00127040" w:rsidRPr="00DF5CF6" w:rsidRDefault="000A0115" w:rsidP="0049207B">
            <w:pPr>
              <w:spacing w:after="0" w:line="20" w:lineRule="atLeast"/>
              <w:ind w:left="72"/>
              <w:jc w:val="center"/>
              <w:rPr>
                <w:rFonts w:ascii="Times New Roman" w:eastAsia="Times New Roman" w:hAnsi="Times New Roman"/>
                <w:sz w:val="24"/>
                <w:szCs w:val="24"/>
                <w:lang w:val="kk-KZ"/>
              </w:rPr>
            </w:pPr>
            <w:r w:rsidRPr="00C473D3">
              <w:rPr>
                <w:rFonts w:ascii="Times New Roman" w:eastAsia="Times New Roman" w:hAnsi="Times New Roman"/>
                <w:b/>
                <w:bCs/>
                <w:sz w:val="24"/>
                <w:szCs w:val="24"/>
                <w:lang w:val="kk-KZ"/>
              </w:rPr>
              <w:t>Лапатиниб тәулігіне 1500 мг</w:t>
            </w:r>
          </w:p>
          <w:p w14:paraId="3166FFB0" w14:textId="06BB3B40" w:rsidR="00127040" w:rsidRPr="00DF5CF6" w:rsidRDefault="000A0115" w:rsidP="0049207B">
            <w:pPr>
              <w:spacing w:after="0" w:line="20" w:lineRule="atLeast"/>
              <w:ind w:right="50"/>
              <w:jc w:val="center"/>
              <w:rPr>
                <w:rFonts w:ascii="Times New Roman" w:eastAsia="Times New Roman" w:hAnsi="Times New Roman"/>
                <w:sz w:val="24"/>
                <w:szCs w:val="24"/>
                <w:lang w:val="kk-KZ"/>
              </w:rPr>
            </w:pPr>
            <w:r w:rsidRPr="00C473D3">
              <w:rPr>
                <w:rFonts w:ascii="Times New Roman" w:eastAsia="Times New Roman" w:hAnsi="Times New Roman"/>
                <w:b/>
                <w:bCs/>
                <w:sz w:val="24"/>
                <w:szCs w:val="24"/>
                <w:lang w:val="kk-KZ"/>
              </w:rPr>
              <w:t>+ Летрозол 2,5 мг</w:t>
            </w:r>
          </w:p>
          <w:p w14:paraId="576BBE21" w14:textId="57DCC916" w:rsidR="00127040" w:rsidRPr="00DF5CF6" w:rsidRDefault="000A0115" w:rsidP="0049207B">
            <w:pPr>
              <w:spacing w:after="0" w:line="20" w:lineRule="atLeast"/>
              <w:ind w:right="48"/>
              <w:jc w:val="center"/>
              <w:rPr>
                <w:rFonts w:ascii="Times New Roman" w:eastAsia="Times New Roman" w:hAnsi="Times New Roman"/>
                <w:sz w:val="24"/>
                <w:szCs w:val="24"/>
                <w:lang w:val="kk-KZ"/>
              </w:rPr>
            </w:pPr>
            <w:r w:rsidRPr="00C473D3">
              <w:rPr>
                <w:rFonts w:ascii="Times New Roman" w:eastAsia="Times New Roman" w:hAnsi="Times New Roman"/>
                <w:b/>
                <w:bCs/>
                <w:sz w:val="24"/>
                <w:szCs w:val="24"/>
                <w:lang w:val="kk-KZ"/>
              </w:rPr>
              <w:t>/тәулігіне</w:t>
            </w:r>
          </w:p>
          <w:p w14:paraId="5B69E4DC" w14:textId="4C1B2BBB" w:rsidR="00127040" w:rsidRPr="00C473D3" w:rsidRDefault="000A0115" w:rsidP="0049207B">
            <w:pPr>
              <w:spacing w:after="0" w:line="20" w:lineRule="atLeast"/>
              <w:ind w:right="51"/>
              <w:jc w:val="center"/>
              <w:rPr>
                <w:rFonts w:ascii="Times New Roman" w:eastAsia="Times New Roman" w:hAnsi="Times New Roman"/>
                <w:sz w:val="24"/>
                <w:szCs w:val="24"/>
              </w:rPr>
            </w:pPr>
            <w:r w:rsidRPr="00C473D3">
              <w:rPr>
                <w:rFonts w:ascii="Times New Roman" w:eastAsia="Times New Roman" w:hAnsi="Times New Roman"/>
                <w:b/>
                <w:bCs/>
                <w:sz w:val="24"/>
                <w:szCs w:val="24"/>
                <w:lang w:val="kk-KZ"/>
              </w:rPr>
              <w:t>N = 111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087DA2D8" w14:textId="49697D80" w:rsidR="00127040" w:rsidRPr="00C473D3" w:rsidRDefault="000A0115" w:rsidP="0049207B">
            <w:pPr>
              <w:spacing w:after="0" w:line="20" w:lineRule="atLeast"/>
              <w:ind w:right="41"/>
              <w:jc w:val="center"/>
              <w:rPr>
                <w:rFonts w:ascii="Times New Roman" w:eastAsia="Times New Roman" w:hAnsi="Times New Roman"/>
                <w:sz w:val="24"/>
                <w:szCs w:val="24"/>
              </w:rPr>
            </w:pPr>
            <w:r w:rsidRPr="00C473D3">
              <w:rPr>
                <w:rFonts w:ascii="Times New Roman" w:eastAsia="Times New Roman" w:hAnsi="Times New Roman"/>
                <w:b/>
                <w:bCs/>
                <w:sz w:val="24"/>
                <w:szCs w:val="24"/>
                <w:lang w:val="kk-KZ"/>
              </w:rPr>
              <w:t>Летрозол күніне 2,5 мг</w:t>
            </w:r>
          </w:p>
          <w:p w14:paraId="56DCE08E" w14:textId="6F0065CC" w:rsidR="00127040" w:rsidRPr="00C473D3" w:rsidRDefault="000A0115" w:rsidP="0049207B">
            <w:pPr>
              <w:spacing w:after="0" w:line="20" w:lineRule="atLeast"/>
              <w:ind w:left="708" w:right="698"/>
              <w:jc w:val="center"/>
              <w:rPr>
                <w:rFonts w:ascii="Times New Roman" w:eastAsia="Times New Roman" w:hAnsi="Times New Roman"/>
                <w:sz w:val="24"/>
                <w:szCs w:val="24"/>
              </w:rPr>
            </w:pPr>
            <w:r w:rsidRPr="00C473D3">
              <w:rPr>
                <w:rFonts w:ascii="Times New Roman" w:eastAsia="Times New Roman" w:hAnsi="Times New Roman"/>
                <w:b/>
                <w:bCs/>
                <w:sz w:val="24"/>
                <w:szCs w:val="24"/>
                <w:lang w:val="kk-KZ"/>
              </w:rPr>
              <w:t>+ плацебо N = 108</w:t>
            </w:r>
          </w:p>
        </w:tc>
      </w:tr>
      <w:tr w:rsidR="00D77C3D" w14:paraId="7BF94894" w14:textId="77777777" w:rsidTr="00873FF7">
        <w:trPr>
          <w:trHeight w:val="262"/>
        </w:trPr>
        <w:tc>
          <w:tcPr>
            <w:tcW w:w="8997" w:type="dxa"/>
            <w:gridSpan w:val="3"/>
            <w:tcBorders>
              <w:top w:val="single" w:sz="4" w:space="0" w:color="000000"/>
              <w:left w:val="single" w:sz="4" w:space="0" w:color="000000"/>
              <w:bottom w:val="single" w:sz="4" w:space="0" w:color="000000"/>
              <w:right w:val="single" w:sz="4" w:space="0" w:color="000000"/>
            </w:tcBorders>
            <w:shd w:val="clear" w:color="auto" w:fill="auto"/>
          </w:tcPr>
          <w:p w14:paraId="6D3A9880"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lastRenderedPageBreak/>
              <w:t xml:space="preserve">Жалпы тірі қалу деңгейіне алдын ала жоспарланған талдау (03 маусым 2008 ж. прогрессиясыз тірі қалу талдауын орындау кезінде жүргізілген.) </w:t>
            </w:r>
          </w:p>
        </w:tc>
      </w:tr>
      <w:tr w:rsidR="00D77C3D" w14:paraId="48C41B68" w14:textId="77777777" w:rsidTr="00873FF7">
        <w:trPr>
          <w:trHeight w:val="265"/>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25624D21"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Кейінгі бақылаудың орташа мәні (жылдар)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35AC1A" w14:textId="77777777" w:rsidR="00127040" w:rsidRPr="00C473D3" w:rsidRDefault="000A0115" w:rsidP="00873FF7">
            <w:pPr>
              <w:spacing w:after="0" w:line="20" w:lineRule="atLeast"/>
              <w:ind w:right="48"/>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2,64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118355D" w14:textId="77777777" w:rsidR="00127040" w:rsidRPr="00C473D3" w:rsidRDefault="000A0115" w:rsidP="00873FF7">
            <w:pPr>
              <w:spacing w:after="0" w:line="20" w:lineRule="atLeast"/>
              <w:ind w:right="4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2,64 </w:t>
            </w:r>
          </w:p>
        </w:tc>
      </w:tr>
      <w:tr w:rsidR="00D77C3D" w14:paraId="5CB01E2E" w14:textId="77777777" w:rsidTr="00873FF7">
        <w:trPr>
          <w:trHeight w:val="262"/>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265C50E8" w14:textId="77777777" w:rsidR="00127040" w:rsidRPr="00C473D3" w:rsidRDefault="000A0115" w:rsidP="00873FF7">
            <w:pPr>
              <w:spacing w:after="0" w:line="20" w:lineRule="atLeast"/>
              <w:ind w:left="254"/>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Өлім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988BE1" w14:textId="77777777" w:rsidR="00127040" w:rsidRPr="00C473D3" w:rsidRDefault="000A0115" w:rsidP="00873FF7">
            <w:pPr>
              <w:spacing w:after="0" w:line="20" w:lineRule="atLeast"/>
              <w:ind w:right="4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50 (45)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D3B0808" w14:textId="77777777" w:rsidR="00127040" w:rsidRPr="00C473D3" w:rsidRDefault="000A0115" w:rsidP="00873FF7">
            <w:pPr>
              <w:spacing w:after="0" w:line="20" w:lineRule="atLeast"/>
              <w:ind w:right="43"/>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54 (50) </w:t>
            </w:r>
          </w:p>
        </w:tc>
      </w:tr>
      <w:tr w:rsidR="00D77C3D" w14:paraId="6A187B9C" w14:textId="77777777" w:rsidTr="00873FF7">
        <w:trPr>
          <w:trHeight w:val="264"/>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6B82AD8A" w14:textId="77777777" w:rsidR="00127040" w:rsidRPr="00C473D3" w:rsidRDefault="000A0115" w:rsidP="00873FF7">
            <w:pPr>
              <w:spacing w:after="0" w:line="20" w:lineRule="atLeast"/>
              <w:ind w:right="55"/>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Тәуекел қатынасы</w:t>
            </w:r>
            <w:r w:rsidRPr="00C473D3">
              <w:rPr>
                <w:rFonts w:ascii="Times New Roman" w:eastAsia="Times New Roman" w:hAnsi="Times New Roman"/>
                <w:b/>
                <w:bCs/>
                <w:sz w:val="24"/>
                <w:szCs w:val="24"/>
                <w:vertAlign w:val="superscript"/>
                <w:lang w:val="kk-KZ"/>
              </w:rPr>
              <w:t>а</w:t>
            </w:r>
            <w:r w:rsidRPr="00C473D3">
              <w:rPr>
                <w:rFonts w:ascii="Times New Roman" w:eastAsia="Times New Roman" w:hAnsi="Times New Roman"/>
                <w:b/>
                <w:bCs/>
                <w:sz w:val="24"/>
                <w:szCs w:val="24"/>
                <w:lang w:val="kk-KZ"/>
              </w:rPr>
              <w:t xml:space="preserve"> (95% CI), р-көрсеткіш</w:t>
            </w:r>
            <w:r w:rsidRPr="00C473D3">
              <w:rPr>
                <w:rFonts w:ascii="Times New Roman" w:eastAsia="Times New Roman" w:hAnsi="Times New Roman"/>
                <w:b/>
                <w:bCs/>
                <w:sz w:val="24"/>
                <w:szCs w:val="24"/>
                <w:vertAlign w:val="superscript"/>
                <w:lang w:val="kk-KZ"/>
              </w:rPr>
              <w:t>b</w:t>
            </w:r>
            <w:r w:rsidRPr="00C473D3">
              <w:rPr>
                <w:rFonts w:ascii="Times New Roman" w:eastAsia="Times New Roman" w:hAnsi="Times New Roman"/>
                <w:b/>
                <w:bCs/>
                <w:sz w:val="24"/>
                <w:szCs w:val="24"/>
                <w:lang w:val="kk-KZ"/>
              </w:rPr>
              <w:t xml:space="preserve"> </w:t>
            </w:r>
          </w:p>
        </w:tc>
        <w:tc>
          <w:tcPr>
            <w:tcW w:w="55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487761" w14:textId="77777777" w:rsidR="00127040" w:rsidRPr="00C473D3" w:rsidRDefault="000A0115" w:rsidP="00873FF7">
            <w:pPr>
              <w:spacing w:after="0" w:line="20" w:lineRule="atLeast"/>
              <w:ind w:right="49"/>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0,77 (0,52; 1,14); 0,185 </w:t>
            </w:r>
          </w:p>
        </w:tc>
      </w:tr>
      <w:tr w:rsidR="00D77C3D" w14:paraId="7E4328DE" w14:textId="77777777" w:rsidTr="00873FF7">
        <w:trPr>
          <w:trHeight w:val="262"/>
        </w:trPr>
        <w:tc>
          <w:tcPr>
            <w:tcW w:w="8997" w:type="dxa"/>
            <w:gridSpan w:val="3"/>
            <w:tcBorders>
              <w:top w:val="single" w:sz="4" w:space="0" w:color="000000"/>
              <w:left w:val="single" w:sz="4" w:space="0" w:color="000000"/>
              <w:bottom w:val="single" w:sz="4" w:space="0" w:color="000000"/>
              <w:right w:val="single" w:sz="4" w:space="0" w:color="000000"/>
            </w:tcBorders>
            <w:shd w:val="clear" w:color="auto" w:fill="auto"/>
          </w:tcPr>
          <w:p w14:paraId="484AF26D"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Жалпы тірі қалудың соңғы талдауы (қайталама талдау 07 тамыз 2013 ж.) </w:t>
            </w:r>
          </w:p>
        </w:tc>
      </w:tr>
      <w:tr w:rsidR="00D77C3D" w14:paraId="6FC85104" w14:textId="77777777" w:rsidTr="00873FF7">
        <w:trPr>
          <w:trHeight w:val="264"/>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7183D4B7"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Кейінгі бақылаудың орташа мәні (жылдар)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846B49" w14:textId="77777777" w:rsidR="00127040" w:rsidRPr="00C473D3" w:rsidRDefault="000A0115" w:rsidP="00873FF7">
            <w:pPr>
              <w:spacing w:after="0" w:line="20" w:lineRule="atLeast"/>
              <w:ind w:right="48"/>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7,78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1814C4A3" w14:textId="77777777" w:rsidR="00127040" w:rsidRPr="00C473D3" w:rsidRDefault="000A0115" w:rsidP="00873FF7">
            <w:pPr>
              <w:spacing w:after="0" w:line="20" w:lineRule="atLeast"/>
              <w:ind w:right="44"/>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7,55 </w:t>
            </w:r>
          </w:p>
        </w:tc>
      </w:tr>
      <w:tr w:rsidR="00D77C3D" w14:paraId="2D14BAE2" w14:textId="77777777" w:rsidTr="00873FF7">
        <w:trPr>
          <w:trHeight w:val="264"/>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72D9024F" w14:textId="77777777" w:rsidR="00127040" w:rsidRPr="00C473D3" w:rsidRDefault="000A0115" w:rsidP="00873FF7">
            <w:pPr>
              <w:spacing w:after="0" w:line="20" w:lineRule="atLeast"/>
              <w:ind w:left="254"/>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Өлім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3A7448" w14:textId="77777777" w:rsidR="00127040" w:rsidRPr="00C473D3" w:rsidRDefault="000A0115" w:rsidP="00873FF7">
            <w:pPr>
              <w:spacing w:after="0" w:line="20" w:lineRule="atLeast"/>
              <w:ind w:right="47"/>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86 (77)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F8BB110" w14:textId="77777777" w:rsidR="00127040" w:rsidRPr="00C473D3" w:rsidRDefault="000A0115" w:rsidP="00873FF7">
            <w:pPr>
              <w:spacing w:after="0" w:line="20" w:lineRule="atLeast"/>
              <w:ind w:right="43"/>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78 (72) </w:t>
            </w:r>
          </w:p>
        </w:tc>
      </w:tr>
      <w:tr w:rsidR="00D77C3D" w14:paraId="7A08BFF7" w14:textId="77777777" w:rsidTr="00873FF7">
        <w:trPr>
          <w:trHeight w:val="262"/>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0F52448D" w14:textId="77777777" w:rsidR="00127040" w:rsidRPr="00C473D3" w:rsidRDefault="000A0115" w:rsidP="00873FF7">
            <w:pPr>
              <w:spacing w:after="0" w:line="20" w:lineRule="atLeast"/>
              <w:ind w:left="52"/>
              <w:jc w:val="both"/>
              <w:rPr>
                <w:rFonts w:ascii="Times New Roman" w:eastAsia="Times New Roman" w:hAnsi="Times New Roman"/>
                <w:sz w:val="24"/>
                <w:szCs w:val="24"/>
              </w:rPr>
            </w:pPr>
            <w:r w:rsidRPr="00C473D3">
              <w:rPr>
                <w:rFonts w:ascii="Times New Roman" w:eastAsia="Times New Roman" w:hAnsi="Times New Roman"/>
                <w:b/>
                <w:bCs/>
                <w:sz w:val="24"/>
                <w:szCs w:val="24"/>
                <w:lang w:val="kk-KZ"/>
              </w:rPr>
              <w:t xml:space="preserve">Тәуекелдің арақатынасы (95% CI), р-көрсеткіш </w:t>
            </w:r>
          </w:p>
        </w:tc>
        <w:tc>
          <w:tcPr>
            <w:tcW w:w="5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1C7D88" w14:textId="77777777" w:rsidR="00127040" w:rsidRPr="00C473D3" w:rsidRDefault="000A0115" w:rsidP="00873FF7">
            <w:pPr>
              <w:spacing w:after="0" w:line="20" w:lineRule="atLeast"/>
              <w:ind w:right="49"/>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0,97 (0,07; 1,33); 0,848 </w:t>
            </w:r>
          </w:p>
        </w:tc>
      </w:tr>
      <w:tr w:rsidR="00D77C3D" w14:paraId="5F4F05A9" w14:textId="77777777" w:rsidTr="00873FF7">
        <w:trPr>
          <w:trHeight w:val="1529"/>
        </w:trPr>
        <w:tc>
          <w:tcPr>
            <w:tcW w:w="8997" w:type="dxa"/>
            <w:gridSpan w:val="3"/>
            <w:tcBorders>
              <w:top w:val="single" w:sz="4" w:space="0" w:color="000000"/>
              <w:left w:val="single" w:sz="4" w:space="0" w:color="000000"/>
              <w:bottom w:val="single" w:sz="4" w:space="0" w:color="000000"/>
              <w:right w:val="single" w:sz="4" w:space="0" w:color="000000"/>
            </w:tcBorders>
            <w:shd w:val="clear" w:color="auto" w:fill="auto"/>
          </w:tcPr>
          <w:p w14:paraId="3CB966B5" w14:textId="77777777" w:rsidR="00127040" w:rsidRPr="00C473D3" w:rsidRDefault="000A0115" w:rsidP="00873FF7">
            <w:pPr>
              <w:spacing w:after="0" w:line="20" w:lineRule="atLeast"/>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Каплан-Мейердің тірі қалу талдауынан алынған орташа мәндер; маңызды болжамдық факторларға бейімделген пропорционалды тәуекелдер моделіне сәйкес тәуекелдер қатынасының мәні мен р-мәндер </w:t>
            </w:r>
          </w:p>
          <w:p w14:paraId="2FA610E3" w14:textId="77777777" w:rsidR="00127040" w:rsidRPr="00C473D3" w:rsidRDefault="000A0115" w:rsidP="00873FF7">
            <w:pPr>
              <w:numPr>
                <w:ilvl w:val="0"/>
                <w:numId w:val="29"/>
              </w:numPr>
              <w:spacing w:after="0" w:line="20" w:lineRule="atLeast"/>
              <w:ind w:hanging="358"/>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Емдеу тәуекелдерінің арақатынасын бағалау, мұнда &lt;1 2,5 мг летрозол + плацебомен салыстырғанда 2,5 мг летрозол + 1500 мг лапатиниб қолданған жағдайда қауіптің аз екенін көрсетеді. </w:t>
            </w:r>
          </w:p>
          <w:p w14:paraId="10E293DB" w14:textId="77777777" w:rsidR="00127040" w:rsidRPr="00C473D3" w:rsidRDefault="000A0115" w:rsidP="00873FF7">
            <w:pPr>
              <w:numPr>
                <w:ilvl w:val="0"/>
                <w:numId w:val="29"/>
              </w:numPr>
              <w:spacing w:after="0" w:line="20" w:lineRule="atLeast"/>
              <w:ind w:hanging="358"/>
              <w:jc w:val="both"/>
              <w:rPr>
                <w:rFonts w:ascii="Times New Roman" w:eastAsia="Times New Roman" w:hAnsi="Times New Roman"/>
                <w:sz w:val="24"/>
                <w:szCs w:val="24"/>
              </w:rPr>
            </w:pPr>
            <w:r w:rsidRPr="00C473D3">
              <w:rPr>
                <w:rFonts w:ascii="Times New Roman" w:eastAsia="Times New Roman" w:hAnsi="Times New Roman"/>
                <w:sz w:val="24"/>
                <w:szCs w:val="24"/>
                <w:lang w:val="kk-KZ"/>
              </w:rPr>
              <w:t xml:space="preserve">Р-мәні ауру аймағы бойынша бөлінген Кокс регрессиясы моделінен және скрининг кезінде алдын ала антиадъювантты терапиядан алынған. </w:t>
            </w:r>
          </w:p>
        </w:tc>
      </w:tr>
    </w:tbl>
    <w:p w14:paraId="7598FAB5" w14:textId="77777777" w:rsidR="00127040" w:rsidRPr="00C473D3" w:rsidRDefault="000A0115" w:rsidP="00127040">
      <w:pPr>
        <w:pStyle w:val="2"/>
        <w:spacing w:before="0" w:after="0" w:line="20" w:lineRule="atLeast"/>
        <w:jc w:val="both"/>
        <w:rPr>
          <w:rFonts w:ascii="Times New Roman" w:hAnsi="Times New Roman"/>
          <w:b w:val="0"/>
          <w:sz w:val="24"/>
          <w:szCs w:val="24"/>
          <w:u w:val="single"/>
        </w:rPr>
      </w:pPr>
      <w:r w:rsidRPr="00C473D3">
        <w:rPr>
          <w:rFonts w:ascii="Times New Roman" w:hAnsi="Times New Roman"/>
          <w:b w:val="0"/>
          <w:sz w:val="24"/>
          <w:szCs w:val="24"/>
          <w:u w:val="single"/>
          <w:lang w:val="kk-KZ"/>
        </w:rPr>
        <w:t xml:space="preserve">Жүректің электрофизиологиясы </w:t>
      </w:r>
    </w:p>
    <w:p w14:paraId="08D6FB8D"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Лапатинибтің QT аралығына әсері жоғары сатыдағы тығыз ісіктері бар (EGF114271) (N=58) пациенттер қатысқан препаратты қабылдаудың бекітілген жүйелілігімен (плацебо және белсенді емдеу) айқаспалы типті салыстырмалы жасырын плацебо-бақыланатын зерттеуде бағаланды. 4 күндік емдеу кезеңінде тиісті плацебоның үш дозасы бірінші күні таңертең және кешке және екінші күні таңертең 12 сағат аралықпен берілді. Содан кейін пациенттер лапатинибтің үш дозасын (әрқайсысы 2000 мг) дәл осылай қабылдады. ЭКГ-ны қоса алғанда өлшеу және фармакокинетикалық үлгілерді алу зерттеу басталғанға дейін және 2 және 4-күні бір уақытта орындалды. </w:t>
      </w:r>
    </w:p>
    <w:p w14:paraId="3A7D0533"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 xml:space="preserve">Бағалауға жол беретін пациенттер тобында (n = 37) ең жоғары орташа мәні ΔΔQTcF 8,75 мс; 90% СА (4,08-13,42)) лапатинибтің үшінші дозасын (2000 мг) қабылдағаннан кейін 10 сағат өткен соң байқалды. 5 мс-да ΔΔQTcF шегінен бірнеше рет асып кету, сондай-ақ 90% СА жоғарғы шекарасының 10 мс шекті мәннен асып кетуі байқалды. Пациенттердің тобындағы фармакодинамика нәтижелері (n=52) пациенттердің бағаланатын тобы үшін алынғандарға сәйкес келді (ең жоғары мәні ΔΔQTcF 90% СА кезінде 4,13-11,68 шегінде 7,91 мс құрады) және лапатинибтің үшінші дозасын (2000 мг) қабылдағаннан кейін 10 сағаттан соң байқалды. </w:t>
      </w:r>
    </w:p>
    <w:p w14:paraId="693D391C"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sz w:val="24"/>
          <w:szCs w:val="24"/>
          <w:lang w:val="kk-KZ"/>
        </w:rPr>
        <w:t>Плазмадағы лапатиниб концентрациясы мен ΔΔQTcF мәні арасында оң байланыс бар. Плазмадағы лапатинибтің ең жоғарғы орташа концентрациясы 3920 (3450-4460) нг/мл (геометриялық орташа/95% СА) болды, бұл C</w:t>
      </w:r>
      <w:r w:rsidRPr="00C473D3">
        <w:rPr>
          <w:rFonts w:ascii="Times New Roman" w:hAnsi="Times New Roman"/>
          <w:sz w:val="24"/>
          <w:szCs w:val="24"/>
          <w:vertAlign w:val="subscript"/>
          <w:lang w:val="kk-KZ"/>
        </w:rPr>
        <w:t>max.ss</w:t>
      </w:r>
      <w:r w:rsidRPr="00C473D3">
        <w:rPr>
          <w:rFonts w:ascii="Times New Roman" w:hAnsi="Times New Roman"/>
          <w:sz w:val="24"/>
          <w:szCs w:val="24"/>
          <w:lang w:val="kk-KZ"/>
        </w:rPr>
        <w:t xml:space="preserve"> геометриялық орташа мәнінен және бекітілген қабылдау режимін сақтаған кезде 95% СА үшін байқалатын мәндерден асып түсті. Лапатинибтің ең жоғары әсерінің қосымша ұлғаюын лапатиниб тамақпен бірге бірнеше рет (4.2 және 5.2-бөлімдерді қараңыз) немесе CYP3A4 күшті тежегіштерімен бір мезгілде қабылданған жағдайларда болжауға болады. Лапатиниб пен CYP3A4 күшті тежегіштерін бірге қабылдаған кезде, модельдеуге негізделген болжамда көрсетілгендей, QTc аралығының 16,1 мс (12,6–20,3 мс) артуын күтуге болады (4.4-бөлімді қараңыз). </w:t>
      </w:r>
    </w:p>
    <w:p w14:paraId="6CC4E13A" w14:textId="77777777" w:rsidR="00127040" w:rsidRPr="005D4D1C" w:rsidRDefault="000A0115" w:rsidP="00127040">
      <w:pPr>
        <w:spacing w:after="0" w:line="20" w:lineRule="atLeast"/>
        <w:ind w:left="-5" w:right="7"/>
        <w:jc w:val="both"/>
        <w:rPr>
          <w:rFonts w:ascii="Times New Roman" w:hAnsi="Times New Roman"/>
          <w:sz w:val="24"/>
          <w:szCs w:val="24"/>
          <w:lang w:val="kk-KZ"/>
        </w:rPr>
      </w:pPr>
      <w:r w:rsidRPr="00C473D3">
        <w:rPr>
          <w:rFonts w:ascii="Times New Roman" w:hAnsi="Times New Roman"/>
          <w:i/>
          <w:iCs/>
          <w:sz w:val="24"/>
          <w:szCs w:val="24"/>
          <w:lang w:val="kk-KZ"/>
        </w:rPr>
        <w:t xml:space="preserve">Тағамның  лапатинибтің экспозициясына әсері </w:t>
      </w:r>
    </w:p>
    <w:p w14:paraId="58016A27" w14:textId="5C882B26" w:rsidR="00127040" w:rsidRDefault="000A0115" w:rsidP="00127040">
      <w:pPr>
        <w:spacing w:after="0" w:line="20" w:lineRule="atLeast"/>
        <w:jc w:val="both"/>
        <w:rPr>
          <w:rFonts w:ascii="Times New Roman" w:hAnsi="Times New Roman"/>
          <w:sz w:val="24"/>
          <w:szCs w:val="24"/>
          <w:lang w:val="kk-KZ"/>
        </w:rPr>
      </w:pPr>
      <w:r w:rsidRPr="00C473D3">
        <w:rPr>
          <w:rFonts w:ascii="Times New Roman" w:hAnsi="Times New Roman"/>
          <w:sz w:val="24"/>
          <w:szCs w:val="24"/>
          <w:lang w:val="kk-KZ"/>
        </w:rPr>
        <w:t xml:space="preserve">Плазмадағы лапатинибтің биожетімділігі және тиісінше концентрациясы тамақтың құрамы мен қабылдау уақытына байланысты ұлғаяды. Тамақтанғаннан кейін бір </w:t>
      </w:r>
      <w:r w:rsidRPr="00C473D3">
        <w:rPr>
          <w:rFonts w:ascii="Times New Roman" w:hAnsi="Times New Roman"/>
          <w:sz w:val="24"/>
          <w:szCs w:val="24"/>
          <w:lang w:val="kk-KZ"/>
        </w:rPr>
        <w:lastRenderedPageBreak/>
        <w:t>сағаттан соң лапатинибті қабылдау жүйелі әсерге әкеледі, бұл тамақтанудан бір сағат бұрын лапатинибті қабылдаумен салыстырғанда шамамен 2-3 есе жоғары.</w:t>
      </w:r>
    </w:p>
    <w:p w14:paraId="6EEC28C5" w14:textId="4BC1C6C7" w:rsidR="0049207B" w:rsidRPr="005D4D1C" w:rsidRDefault="0049207B" w:rsidP="00127040">
      <w:pPr>
        <w:spacing w:after="0" w:line="20" w:lineRule="atLeast"/>
        <w:jc w:val="both"/>
        <w:rPr>
          <w:rFonts w:ascii="Times New Roman" w:hAnsi="Times New Roman"/>
          <w:sz w:val="24"/>
          <w:szCs w:val="24"/>
          <w:lang w:val="kk-KZ"/>
        </w:rPr>
      </w:pPr>
      <w:r w:rsidRPr="0049207B">
        <w:rPr>
          <w:rFonts w:ascii="Times New Roman" w:hAnsi="Times New Roman"/>
          <w:sz w:val="24"/>
          <w:szCs w:val="24"/>
          <w:lang w:val="kk-KZ"/>
        </w:rPr>
        <w:t xml:space="preserve">Еуропалық дәрі-дәрмектер агенттігі сүт безі обырының </w:t>
      </w:r>
      <w:r w:rsidR="00DD56FA" w:rsidRPr="0049207B">
        <w:rPr>
          <w:rFonts w:ascii="Times New Roman" w:hAnsi="Times New Roman"/>
          <w:sz w:val="24"/>
          <w:szCs w:val="24"/>
          <w:lang w:val="kk-KZ"/>
        </w:rPr>
        <w:t xml:space="preserve">педиатриялық </w:t>
      </w:r>
      <w:r w:rsidRPr="0049207B">
        <w:rPr>
          <w:rFonts w:ascii="Times New Roman" w:hAnsi="Times New Roman"/>
          <w:sz w:val="24"/>
          <w:szCs w:val="24"/>
          <w:lang w:val="kk-KZ"/>
        </w:rPr>
        <w:t xml:space="preserve">популяциясының барлық </w:t>
      </w:r>
      <w:r w:rsidR="00DD56FA">
        <w:rPr>
          <w:rFonts w:ascii="Times New Roman" w:hAnsi="Times New Roman"/>
          <w:sz w:val="24"/>
          <w:szCs w:val="24"/>
          <w:lang w:val="kk-KZ"/>
        </w:rPr>
        <w:t>қосалқы топтарында</w:t>
      </w:r>
      <w:r w:rsidRPr="0049207B">
        <w:rPr>
          <w:rFonts w:ascii="Times New Roman" w:hAnsi="Times New Roman"/>
          <w:sz w:val="24"/>
          <w:szCs w:val="24"/>
          <w:lang w:val="kk-KZ"/>
        </w:rPr>
        <w:t xml:space="preserve"> лапатинибті зерттеу нәтижелерін беру міндетінен бас тартты (педиатрияда қолдану туралы ақпаратты 4.2 бөлімін қараңыз).</w:t>
      </w:r>
    </w:p>
    <w:p w14:paraId="49522C37" w14:textId="77777777" w:rsidR="00C153F2" w:rsidRPr="005D4D1C" w:rsidRDefault="000A0115"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C473D3">
        <w:rPr>
          <w:rFonts w:ascii="Times New Roman" w:hAnsi="Times New Roman"/>
          <w:b/>
          <w:sz w:val="24"/>
          <w:szCs w:val="24"/>
          <w:lang w:val="kk-KZ" w:eastAsia="ru-RU"/>
        </w:rPr>
        <w:t>5.2 Фармакокинетикалық қасиеттері</w:t>
      </w:r>
    </w:p>
    <w:p w14:paraId="70770FD8" w14:textId="77777777" w:rsidR="00886CC6" w:rsidRPr="005D4D1C" w:rsidRDefault="000A0115" w:rsidP="00886CC6">
      <w:pPr>
        <w:adjustRightInd w:val="0"/>
        <w:snapToGrid w:val="0"/>
        <w:spacing w:after="0" w:line="240" w:lineRule="auto"/>
        <w:jc w:val="both"/>
        <w:rPr>
          <w:rFonts w:ascii="Times New Roman" w:hAnsi="Times New Roman"/>
          <w:sz w:val="24"/>
          <w:lang w:val="kk-KZ"/>
        </w:rPr>
      </w:pPr>
      <w:r w:rsidRPr="00C473D3">
        <w:rPr>
          <w:rFonts w:ascii="Times New Roman" w:hAnsi="Times New Roman"/>
          <w:i/>
          <w:sz w:val="24"/>
          <w:lang w:val="kk-KZ"/>
        </w:rPr>
        <w:t xml:space="preserve">Сіңірілуі </w:t>
      </w:r>
    </w:p>
    <w:p w14:paraId="22A7D7D1" w14:textId="77777777" w:rsidR="00886CC6" w:rsidRPr="005D4D1C" w:rsidRDefault="000A0115" w:rsidP="00886CC6">
      <w:pPr>
        <w:spacing w:after="0" w:line="240" w:lineRule="auto"/>
        <w:jc w:val="both"/>
        <w:rPr>
          <w:rFonts w:ascii="Times New Roman" w:hAnsi="Times New Roman"/>
          <w:sz w:val="24"/>
          <w:lang w:val="kk-KZ"/>
        </w:rPr>
      </w:pPr>
      <w:r w:rsidRPr="00C473D3">
        <w:rPr>
          <w:rFonts w:ascii="Times New Roman" w:hAnsi="Times New Roman"/>
          <w:sz w:val="24"/>
          <w:lang w:val="kk-KZ"/>
        </w:rPr>
        <w:t>Ішке қабылдағаннан кейін лапатинибтің абсолютті биожетімділігі белгісіз, бірақ толық емес және өзгереді (вариация коэффициенті AUC-де шамамен 70%-ды құрайды). Жүйелі қанағымда орташа есеппен 0,25 сағаттан кейін анықталады (диапазоны 0 – 1,5 сағат). Қан плазмасындағы лапатинибтің ең жоғары концентрациясы (С</w:t>
      </w:r>
      <w:r w:rsidRPr="00C473D3">
        <w:rPr>
          <w:rFonts w:ascii="Times New Roman" w:hAnsi="Times New Roman"/>
          <w:sz w:val="24"/>
          <w:vertAlign w:val="subscript"/>
          <w:lang w:val="kk-KZ"/>
        </w:rPr>
        <w:t>mах</w:t>
      </w:r>
      <w:r w:rsidRPr="00C473D3">
        <w:rPr>
          <w:rFonts w:ascii="Times New Roman" w:hAnsi="Times New Roman"/>
          <w:sz w:val="24"/>
          <w:lang w:val="kk-KZ"/>
        </w:rPr>
        <w:t>) қабылдағаннан кейін шамамен 4 сағаттан соң жетеді. 1250 мг тәуліктік дозасы орташа геометриялық (вариация коэффициенті)  C</w:t>
      </w:r>
      <w:r w:rsidRPr="00C473D3">
        <w:rPr>
          <w:rFonts w:ascii="Times New Roman" w:hAnsi="Times New Roman"/>
          <w:sz w:val="24"/>
          <w:vertAlign w:val="subscript"/>
          <w:lang w:val="kk-KZ"/>
        </w:rPr>
        <w:t>max</w:t>
      </w:r>
      <w:r w:rsidRPr="00C473D3">
        <w:rPr>
          <w:rFonts w:ascii="Times New Roman" w:hAnsi="Times New Roman"/>
          <w:sz w:val="24"/>
          <w:lang w:val="kk-KZ"/>
        </w:rPr>
        <w:t xml:space="preserve"> 2,43 мкг/мл (76%) және AUC 36,2 мкг × сағ/мл (79%) мәндерінен тепе тең жағдайда құрайды. </w:t>
      </w:r>
    </w:p>
    <w:p w14:paraId="1C0F3AA1"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sz w:val="24"/>
          <w:lang w:val="kk-KZ"/>
        </w:rPr>
        <w:t>Лапатинибтің жүйелі әсері тамақпен бірге қабылдаған кезде артады. Препаратты аса майлы емес тағаммен (майлылығы 5% [500 калория]) немесе маймен қаныққан тағаммен (майлылығы 50% [1000 калория]) бір мезгілде қабылдаған кезде AUC мәні шамамен 3 немесе 4 есе артады (C</w:t>
      </w:r>
      <w:r w:rsidRPr="00C473D3">
        <w:rPr>
          <w:rFonts w:ascii="Times New Roman" w:hAnsi="Times New Roman"/>
          <w:sz w:val="24"/>
          <w:vertAlign w:val="subscript"/>
          <w:lang w:val="kk-KZ"/>
        </w:rPr>
        <w:t>max</w:t>
      </w:r>
      <w:r w:rsidRPr="00C473D3">
        <w:rPr>
          <w:rFonts w:ascii="Times New Roman" w:hAnsi="Times New Roman"/>
          <w:sz w:val="24"/>
          <w:lang w:val="kk-KZ"/>
        </w:rPr>
        <w:t xml:space="preserve"> 2,5 немесе 3 есе артады), тиісінше, ашқарынға қабылдаумен салыстырғанда. Лапатинибтің жүйелі әсері препаратты тамақ қабылдауға қатысты қабылдау уақытына да байланысты. Майы аз таңғы астан 1 сағат бұрын қабылдаған кезде, AUC орташа мәні сәйкесінше лапатинибті майы аз немесе жоғары мөлшерлі тағамды қабылдағаннан кейін 1 сағаттан соң қабылдағанға қарағанда шамамен 2 және 3 есе жоғары болды. </w:t>
      </w:r>
    </w:p>
    <w:p w14:paraId="0F48F3D4"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i/>
          <w:sz w:val="24"/>
          <w:lang w:val="kk-KZ"/>
        </w:rPr>
        <w:t xml:space="preserve">Таралуы </w:t>
      </w:r>
    </w:p>
    <w:p w14:paraId="7CBECE79"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sz w:val="24"/>
          <w:lang w:val="kk-KZ"/>
        </w:rPr>
        <w:t xml:space="preserve">Лапатиниб альбуминдермен және альфа-1 гликопротеиндермен (99%-дан астам) байланысудың жоғары дәрежесіне ие. </w:t>
      </w:r>
      <w:r w:rsidRPr="00C473D3">
        <w:rPr>
          <w:rFonts w:ascii="Times New Roman" w:hAnsi="Times New Roman"/>
          <w:i/>
          <w:iCs/>
          <w:sz w:val="24"/>
          <w:lang w:val="kk-KZ"/>
        </w:rPr>
        <w:t>In vitro</w:t>
      </w:r>
      <w:r w:rsidRPr="00C473D3">
        <w:rPr>
          <w:rFonts w:ascii="Times New Roman" w:hAnsi="Times New Roman"/>
          <w:sz w:val="24"/>
          <w:lang w:val="kk-KZ"/>
        </w:rPr>
        <w:t xml:space="preserve"> нәтижелері лапатинибтің ВСRP (ABCG1) транспорттық нәруыздары және гликопротеин П (ABCB1) үшін субстрат екенін көрсетті. Лапатиниб </w:t>
      </w:r>
      <w:r w:rsidRPr="00C473D3">
        <w:rPr>
          <w:rFonts w:ascii="Times New Roman" w:hAnsi="Times New Roman"/>
          <w:i/>
          <w:iCs/>
          <w:sz w:val="24"/>
          <w:lang w:val="kk-KZ"/>
        </w:rPr>
        <w:t>in vitro</w:t>
      </w:r>
      <w:r w:rsidRPr="00C473D3">
        <w:rPr>
          <w:rFonts w:ascii="Times New Roman" w:hAnsi="Times New Roman"/>
          <w:sz w:val="24"/>
          <w:lang w:val="kk-KZ"/>
        </w:rPr>
        <w:t xml:space="preserve"> осы эффлюксті тасымалдаушыларды, сондай-ақ клиникалық маңызды концентрацияларда (IC</w:t>
      </w:r>
      <w:r w:rsidRPr="00C473D3">
        <w:rPr>
          <w:rFonts w:ascii="Times New Roman" w:hAnsi="Times New Roman"/>
          <w:sz w:val="24"/>
          <w:vertAlign w:val="subscript"/>
          <w:lang w:val="kk-KZ"/>
        </w:rPr>
        <w:t>50</w:t>
      </w:r>
      <w:r w:rsidRPr="00C473D3">
        <w:rPr>
          <w:rFonts w:ascii="Times New Roman" w:hAnsi="Times New Roman"/>
          <w:sz w:val="24"/>
          <w:lang w:val="kk-KZ"/>
        </w:rPr>
        <w:t xml:space="preserve"> мәні 2,3 мкг/мл) ОАТР1В1 бауыр тасымалдаушысын тежеу үрдісін көрсетті. Басқа дәрілік препараттардың фармакокинетикасына немесе ісікке қарсы  басқа препараттардың фармакологиялық белсенділігіне мұндай әсердің клиникалық маңызы белгісіз. </w:t>
      </w:r>
    </w:p>
    <w:p w14:paraId="3F03FC95"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i/>
          <w:sz w:val="24"/>
          <w:lang w:val="kk-KZ"/>
        </w:rPr>
        <w:t xml:space="preserve">Биотрансформациясы </w:t>
      </w:r>
    </w:p>
    <w:p w14:paraId="16FDA717"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sz w:val="24"/>
          <w:lang w:val="kk-KZ"/>
        </w:rPr>
        <w:t xml:space="preserve">Лапатиниб негізінен CYP3A4 және CYP3A5 көмегімен, аз дәрежеде - саны нәжіспен бөлінген дозаның 14%-ынан немесе қан плазмасындағы лапатиниб концентрациясының 10%-ынан аспайтын әртүрлі тотыққан метаболиттер түзе отырып, CYP2C19 және CYP2C8 көмегімен қарқынды метаболизмге ұшырайды. </w:t>
      </w:r>
    </w:p>
    <w:p w14:paraId="1BFFD15C"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sz w:val="24"/>
          <w:lang w:val="kk-KZ"/>
        </w:rPr>
        <w:t xml:space="preserve">Лапатиниб клиникалық маңызды концентрацияларда CYP3A (Ki 0,6–2,3 мкг/мл) және CYP2C8 (0,3 мкг/мл) </w:t>
      </w:r>
      <w:r w:rsidRPr="00C473D3">
        <w:rPr>
          <w:rFonts w:ascii="Times New Roman" w:hAnsi="Times New Roman"/>
          <w:i/>
          <w:iCs/>
          <w:sz w:val="24"/>
          <w:lang w:val="kk-KZ"/>
        </w:rPr>
        <w:t>in vitro</w:t>
      </w:r>
      <w:r w:rsidRPr="00C473D3">
        <w:rPr>
          <w:rFonts w:ascii="Times New Roman" w:hAnsi="Times New Roman"/>
          <w:sz w:val="24"/>
          <w:lang w:val="kk-KZ"/>
        </w:rPr>
        <w:t xml:space="preserve"> басады. Лапатиниб адам бауырының келесі микросомаларын елеулі дәрежеде тежемейді: CYP1A2, CYP2С9, CYP2С19, CYP2D6 немесе UGT (IC</w:t>
      </w:r>
      <w:r w:rsidRPr="00C473D3">
        <w:rPr>
          <w:rFonts w:ascii="Times New Roman" w:hAnsi="Times New Roman"/>
          <w:sz w:val="24"/>
          <w:vertAlign w:val="subscript"/>
          <w:lang w:val="kk-KZ"/>
        </w:rPr>
        <w:t>50</w:t>
      </w:r>
      <w:r w:rsidRPr="00C473D3">
        <w:rPr>
          <w:rFonts w:ascii="Times New Roman" w:hAnsi="Times New Roman"/>
          <w:sz w:val="24"/>
          <w:lang w:val="kk-KZ"/>
        </w:rPr>
        <w:t xml:space="preserve"> </w:t>
      </w:r>
      <w:r w:rsidRPr="00C473D3">
        <w:rPr>
          <w:rFonts w:ascii="Times New Roman" w:hAnsi="Times New Roman"/>
          <w:i/>
          <w:iCs/>
          <w:sz w:val="24"/>
          <w:lang w:val="kk-KZ"/>
        </w:rPr>
        <w:t>in vitro</w:t>
      </w:r>
      <w:r w:rsidRPr="00C473D3">
        <w:rPr>
          <w:rFonts w:ascii="Times New Roman" w:hAnsi="Times New Roman"/>
          <w:sz w:val="24"/>
          <w:lang w:val="kk-KZ"/>
        </w:rPr>
        <w:t xml:space="preserve"> ≥ 6,9 мкг/мл) ферменттері. </w:t>
      </w:r>
    </w:p>
    <w:p w14:paraId="400F6C25" w14:textId="77777777" w:rsidR="00886CC6" w:rsidRPr="005D4D1C" w:rsidRDefault="000A0115" w:rsidP="00886CC6">
      <w:pPr>
        <w:spacing w:after="0" w:line="240" w:lineRule="auto"/>
        <w:ind w:left="-5" w:right="7"/>
        <w:jc w:val="both"/>
        <w:rPr>
          <w:rFonts w:ascii="Times New Roman" w:hAnsi="Times New Roman"/>
          <w:i/>
          <w:sz w:val="24"/>
          <w:lang w:val="kk-KZ"/>
        </w:rPr>
      </w:pPr>
      <w:r w:rsidRPr="00C473D3">
        <w:rPr>
          <w:rFonts w:ascii="Times New Roman" w:hAnsi="Times New Roman"/>
          <w:i/>
          <w:sz w:val="24"/>
          <w:lang w:val="kk-KZ"/>
        </w:rPr>
        <w:t xml:space="preserve">Шығарылуы </w:t>
      </w:r>
    </w:p>
    <w:p w14:paraId="2AB4AA59"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sz w:val="24"/>
          <w:lang w:val="kk-KZ"/>
        </w:rPr>
        <w:t xml:space="preserve">Лапатинибтің жартылай шығарылу кезеңі бір реттік дозаларды арттырған кезде дозаға тәуелді ұлғаяды. Лапатинибтің тәуліктік дозасы қабылдаудың 6-7 тәулігінен кейін тепе-теңдік жағдайына әкеледі, жартылай шығарылу кезеңі 24 сағатты құрайды. Лапатиниб негізінен CYP3A4/5 метаболизмі арқылы шығарылады. Өт экскрециясы организмнен шығаруға да ықпал етуі мүмкін. Лапатиниб пен оның метаболиттері экскрециясының негізгі тәсілі нәжіс арқылы жүзеге асырылады. Орташа алғанда, пероральді қабылданған дозаның 27%-ы (3-тен 67%-ға дейін) өзгермеген түрде нәжіс арқылы шығарылады. Қабылданған дозаның 2%-дан азы бүйрекпен өзгермеген түрде және метаболиттер түрінде шығарылады. </w:t>
      </w:r>
    </w:p>
    <w:p w14:paraId="6FF7E92D" w14:textId="77777777" w:rsidR="00886CC6" w:rsidRPr="005D4D1C" w:rsidRDefault="000A0115" w:rsidP="00886CC6">
      <w:pPr>
        <w:spacing w:after="0" w:line="240" w:lineRule="auto"/>
        <w:ind w:left="-5" w:right="7"/>
        <w:jc w:val="both"/>
        <w:rPr>
          <w:rFonts w:ascii="Times New Roman" w:hAnsi="Times New Roman"/>
          <w:i/>
          <w:sz w:val="24"/>
          <w:lang w:val="kk-KZ"/>
        </w:rPr>
      </w:pPr>
      <w:r w:rsidRPr="00C473D3">
        <w:rPr>
          <w:rFonts w:ascii="Times New Roman" w:hAnsi="Times New Roman"/>
          <w:i/>
          <w:sz w:val="24"/>
          <w:lang w:val="kk-KZ"/>
        </w:rPr>
        <w:t xml:space="preserve">Бүйрек функциясының бұзылуы </w:t>
      </w:r>
    </w:p>
    <w:p w14:paraId="14B9632E"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sz w:val="24"/>
          <w:lang w:val="kk-KZ"/>
        </w:rPr>
        <w:lastRenderedPageBreak/>
        <w:t xml:space="preserve">Бүйрек жеткіліксіздігі бар пациенттерде немесе гемодиализдегі пациенттерде лапатинибтің фармакокинетикасы зерттелмеген. Бүйрек функциясының шамалы және орташа бұзылуы бар пациенттер үшін дозаны түзету талап етілмейді. </w:t>
      </w:r>
    </w:p>
    <w:p w14:paraId="271E8AB1" w14:textId="77777777" w:rsidR="00886CC6" w:rsidRPr="005D4D1C" w:rsidRDefault="000A0115" w:rsidP="00886CC6">
      <w:pPr>
        <w:spacing w:after="0" w:line="240" w:lineRule="auto"/>
        <w:ind w:left="-5" w:right="7"/>
        <w:jc w:val="both"/>
        <w:rPr>
          <w:rFonts w:ascii="Times New Roman" w:hAnsi="Times New Roman"/>
          <w:sz w:val="24"/>
          <w:lang w:val="kk-KZ"/>
        </w:rPr>
      </w:pPr>
      <w:r w:rsidRPr="00C473D3">
        <w:rPr>
          <w:rFonts w:ascii="Times New Roman" w:hAnsi="Times New Roman"/>
          <w:i/>
          <w:iCs/>
          <w:sz w:val="24"/>
          <w:lang w:val="kk-KZ"/>
        </w:rPr>
        <w:t xml:space="preserve">Бауыр функциясының бұзылуы </w:t>
      </w:r>
    </w:p>
    <w:p w14:paraId="59BB7DDE" w14:textId="75578077" w:rsidR="00886CC6" w:rsidRPr="009711FB" w:rsidRDefault="000A0115" w:rsidP="00886CC6">
      <w:pPr>
        <w:spacing w:after="0" w:line="240" w:lineRule="auto"/>
        <w:ind w:left="-5" w:right="7"/>
        <w:jc w:val="both"/>
        <w:rPr>
          <w:lang w:val="kk-KZ"/>
        </w:rPr>
      </w:pPr>
      <w:r w:rsidRPr="00C473D3">
        <w:rPr>
          <w:rFonts w:ascii="Times New Roman" w:hAnsi="Times New Roman"/>
          <w:sz w:val="24"/>
          <w:lang w:val="kk-KZ"/>
        </w:rPr>
        <w:t>Лапатинибтің фармакокинетикасын бауыр функциясының орташа (n = 8) немесе ауыр (n = 4) бұзылуы бар пациенттерде (тиісінше Чайлд-Пью шкаласы бойынша 7-9 немесе 9 баллдан жоғары) және бақылау тобындағы 8 сау пациентте зерттеді. 100 мг препаратты пероральді қабылдағаннан кейін лапатинибтің жүйелі әсері (AUC) тиісінше бауыр функциясының орташа және ауыр бұзылу дәрежесі бар пациенттерде шамамен 56% және 85%-ға артты. Бауыр функциясы бұзылған пациенттерде лапатиниб сақтықпен тағайындалуы тиіс</w:t>
      </w:r>
      <w:r w:rsidR="009711FB" w:rsidRPr="009711FB">
        <w:rPr>
          <w:rFonts w:ascii="Times New Roman" w:hAnsi="Times New Roman"/>
          <w:sz w:val="24"/>
          <w:lang w:val="kk-KZ"/>
        </w:rPr>
        <w:t xml:space="preserve"> (4.2 және 4.4 </w:t>
      </w:r>
      <w:r w:rsidR="00DD56FA">
        <w:rPr>
          <w:rFonts w:ascii="Times New Roman" w:hAnsi="Times New Roman"/>
          <w:sz w:val="24"/>
          <w:lang w:val="kk-KZ"/>
        </w:rPr>
        <w:t>бөлімдерін</w:t>
      </w:r>
      <w:r w:rsidR="009711FB" w:rsidRPr="009711FB">
        <w:rPr>
          <w:rFonts w:ascii="Times New Roman" w:hAnsi="Times New Roman"/>
          <w:sz w:val="24"/>
          <w:lang w:val="kk-KZ"/>
        </w:rPr>
        <w:t xml:space="preserve"> қараңыз).</w:t>
      </w:r>
    </w:p>
    <w:p w14:paraId="4C310ABF" w14:textId="77777777" w:rsidR="0013233F" w:rsidRPr="005D4D1C" w:rsidRDefault="0013233F" w:rsidP="0078568D">
      <w:pPr>
        <w:autoSpaceDE w:val="0"/>
        <w:autoSpaceDN w:val="0"/>
        <w:adjustRightInd w:val="0"/>
        <w:spacing w:after="0" w:line="240" w:lineRule="auto"/>
        <w:rPr>
          <w:rFonts w:ascii="Times New Roman" w:hAnsi="Times New Roman"/>
          <w:b/>
          <w:sz w:val="24"/>
          <w:szCs w:val="24"/>
          <w:lang w:val="kk-KZ" w:eastAsia="ru-RU"/>
        </w:rPr>
      </w:pPr>
    </w:p>
    <w:p w14:paraId="10761622" w14:textId="77777777" w:rsidR="00DF3381" w:rsidRPr="005D4D1C" w:rsidRDefault="000A0115"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C473D3">
        <w:rPr>
          <w:rFonts w:ascii="Times New Roman" w:hAnsi="Times New Roman"/>
          <w:b/>
          <w:sz w:val="24"/>
          <w:szCs w:val="24"/>
          <w:lang w:val="kk-KZ" w:eastAsia="ru-RU"/>
        </w:rPr>
        <w:t>5.3. Клиникаға дейінгі қауіпсіздік деректері</w:t>
      </w:r>
    </w:p>
    <w:p w14:paraId="1D3BDA8A" w14:textId="77777777" w:rsidR="00AD087F" w:rsidRPr="005D4D1C" w:rsidRDefault="000A0115" w:rsidP="00AD087F">
      <w:pPr>
        <w:spacing w:after="0" w:line="240" w:lineRule="auto"/>
        <w:ind w:left="-6" w:right="6"/>
        <w:jc w:val="both"/>
        <w:rPr>
          <w:rFonts w:ascii="Times New Roman" w:hAnsi="Times New Roman"/>
          <w:sz w:val="24"/>
          <w:lang w:val="kk-KZ"/>
        </w:rPr>
      </w:pPr>
      <w:r w:rsidRPr="00C473D3">
        <w:rPr>
          <w:rFonts w:ascii="Times New Roman" w:hAnsi="Times New Roman"/>
          <w:sz w:val="24"/>
          <w:lang w:val="kk-KZ"/>
        </w:rPr>
        <w:t xml:space="preserve">Лапатинибтің әсері препаратты күніне 30, 60 және 120 мг/кг дозада пероральді қабылдаған жүкті егеуқұйрықтар мен үй қояндарында зерттелді. Тератогендік әсер болған жоқ; алайда егеуқұйрықтарда күніне ≥ 60 мг/кг қабылдаған кезде (адамға күтілетін клиникалық әсерден 4 есе артық) дамудың шағын ауытқулары (сол жақ кіндік артериясы, қосымша қабырға және сүйек затының мерзімінен бұрын түзілуі) орын алды. Лапатиниб жүкті ұрғашы үй қояндарына күніне 60 және 120 мг/кг (тиісінше адамға күтілетін клиникалық әсердің 8% және 23%) қабылдау кезінде уытты әсер етті және күніне 120 мг/кг қабылдау кезінде түсік тастауға әкелді. Күніне ≥60 мг/кг қабылдаған кезде эмбрионның дене салмағының төмендеуі және сүйектердің кішігірім өзгерістері байқалды. Егеуқұйрықтарда құрсақішілік және босанғаннан кейінгі дамуды зерттеу кезінде күніне 60 мг/кг немесе одан да көп қабылдаған кезде босану мен босанғаннан кейінгі 21 күн арасындағы кезеңде балаларының тірі қалуының төмендеуі байқалды (адамға күтілетін клиникалық әсерден 5 есе көп). Осы зерттеуге арналған ең жоғары әсер етпейтін доза күніне 20 мг/кг құрады. </w:t>
      </w:r>
    </w:p>
    <w:p w14:paraId="1C3B9EDA" w14:textId="77777777" w:rsidR="00AD087F" w:rsidRPr="005D4D1C" w:rsidRDefault="000A0115" w:rsidP="0085434F">
      <w:pPr>
        <w:spacing w:after="0" w:line="240" w:lineRule="auto"/>
        <w:ind w:left="-6" w:right="6"/>
        <w:jc w:val="both"/>
        <w:rPr>
          <w:rFonts w:ascii="Times New Roman" w:hAnsi="Times New Roman"/>
          <w:sz w:val="24"/>
          <w:lang w:val="kk-KZ"/>
        </w:rPr>
      </w:pPr>
      <w:r w:rsidRPr="00C473D3">
        <w:rPr>
          <w:rFonts w:ascii="Times New Roman" w:hAnsi="Times New Roman"/>
          <w:sz w:val="24"/>
          <w:lang w:val="kk-KZ"/>
        </w:rPr>
        <w:t>Лапатинибтің канцерогенділігін зерттеу кезінде ең жоғары сыналған дозаларды қабылдау кезінде терінің ауыр зақымдануы байқалды, оның AUC негізіндегі әсері күніне бір рет 1250 мг лапатиниб қабылдаған адамдармен салыстырғанда тышқандар мен егеуқұйрықтардың аталықтарында 2 есе, ал аналық егеуқұйрықтарда 15 есе көп болды. Тышқандарда канцерогендік белгілері байқалмады.</w:t>
      </w:r>
      <w:r w:rsidR="0085434F">
        <w:rPr>
          <w:rFonts w:ascii="Times New Roman" w:hAnsi="Times New Roman"/>
          <w:sz w:val="24"/>
          <w:lang w:val="kk-KZ"/>
        </w:rPr>
        <w:t xml:space="preserve"> Тышқандарда шажырқай лимфа түйіндерінің қатерсіз гемангиомаларының пайда болу жиілігі қатар жүрген бақылау тобына қарағанда, кейбір топтарда жоғары болды. </w:t>
      </w:r>
      <w:r w:rsidRPr="00C473D3">
        <w:rPr>
          <w:rFonts w:ascii="Times New Roman" w:hAnsi="Times New Roman"/>
          <w:sz w:val="24"/>
          <w:lang w:val="kk-KZ"/>
        </w:rPr>
        <w:t xml:space="preserve">Сондай-ақ, күніне бір рет 1250 мг лапатиниб қабылдаған адамдармен салыстырғанда аталық егеуқұйрықтарда 7 және 10 есе әсер еткенде бүйрек инфарктісі мен папиллярлық некроздың жоғарылауы байқалды. Бұл нәтижелердің адам үшін өзектілігі белгісіз. </w:t>
      </w:r>
    </w:p>
    <w:p w14:paraId="3649C5F2" w14:textId="77777777" w:rsidR="00AD087F" w:rsidRPr="005D4D1C" w:rsidRDefault="000A0115" w:rsidP="00AD087F">
      <w:pPr>
        <w:spacing w:after="0" w:line="240" w:lineRule="auto"/>
        <w:ind w:left="-6" w:right="6"/>
        <w:jc w:val="both"/>
        <w:rPr>
          <w:rFonts w:ascii="Times New Roman" w:hAnsi="Times New Roman"/>
          <w:sz w:val="24"/>
          <w:lang w:val="kk-KZ"/>
        </w:rPr>
      </w:pPr>
      <w:r w:rsidRPr="00C473D3">
        <w:rPr>
          <w:rFonts w:ascii="Times New Roman" w:hAnsi="Times New Roman"/>
          <w:sz w:val="24"/>
          <w:lang w:val="kk-KZ"/>
        </w:rPr>
        <w:t xml:space="preserve">Егеуқұйрықтардың аналықтары мен аталықтарында жыныс бездерінің функцияларына, олардың жұптасу функцияларына немесе репродуктивті функцияларына күніне 120 мг/кг-ға дейін (аналық) және күніне 180 мг/кг-ға дейін (аталықтар) қабылдағанда әсер етпеді (сәйкесінше адамға күтілетін клиникалық әсерден 8 және 3 есе көп). Адамның репродуктивті функциясына әсері белгісіз. </w:t>
      </w:r>
    </w:p>
    <w:p w14:paraId="473BA9F5" w14:textId="77777777" w:rsidR="00AD087F" w:rsidRPr="005D4D1C" w:rsidRDefault="000A0115" w:rsidP="00AD087F">
      <w:pPr>
        <w:spacing w:after="0" w:line="240" w:lineRule="auto"/>
        <w:ind w:left="-6" w:right="6"/>
        <w:jc w:val="both"/>
        <w:rPr>
          <w:rFonts w:ascii="Times New Roman" w:hAnsi="Times New Roman"/>
          <w:sz w:val="24"/>
          <w:lang w:val="kk-KZ"/>
        </w:rPr>
      </w:pPr>
      <w:r w:rsidRPr="00C473D3">
        <w:rPr>
          <w:rFonts w:ascii="Times New Roman" w:hAnsi="Times New Roman"/>
          <w:sz w:val="24"/>
          <w:lang w:val="kk-KZ"/>
        </w:rPr>
        <w:t xml:space="preserve">Лапатиниб бірқатар зерттеулердің, оның ішінде қытай атжалманының хромосомалық аберрациясын зерттеу, Эймс тесті, адам лимфоциттерінің хромосомалық аберрациясын зерттеу және </w:t>
      </w:r>
      <w:r w:rsidRPr="00C473D3">
        <w:rPr>
          <w:rFonts w:ascii="Times New Roman" w:hAnsi="Times New Roman"/>
          <w:i/>
          <w:iCs/>
          <w:sz w:val="24"/>
          <w:lang w:val="kk-KZ"/>
        </w:rPr>
        <w:t>in vivo</w:t>
      </w:r>
      <w:r w:rsidRPr="00C473D3">
        <w:rPr>
          <w:rFonts w:ascii="Times New Roman" w:hAnsi="Times New Roman"/>
          <w:sz w:val="24"/>
          <w:lang w:val="kk-KZ"/>
        </w:rPr>
        <w:t xml:space="preserve"> егеуқұйрықтардың сүйек кемігінің хромосомалық аберрациясын зерттеу нәтижелері бойынша кластогендік немесе мутагендік емес. </w:t>
      </w:r>
    </w:p>
    <w:p w14:paraId="56F3FC10" w14:textId="77777777" w:rsidR="00CE03ED" w:rsidRPr="005D4D1C" w:rsidRDefault="00CE03ED" w:rsidP="0078568D">
      <w:pPr>
        <w:autoSpaceDE w:val="0"/>
        <w:autoSpaceDN w:val="0"/>
        <w:adjustRightInd w:val="0"/>
        <w:spacing w:after="0" w:line="240" w:lineRule="auto"/>
        <w:rPr>
          <w:rFonts w:ascii="Times New Roman" w:hAnsi="Times New Roman"/>
          <w:b/>
          <w:sz w:val="24"/>
          <w:szCs w:val="24"/>
          <w:lang w:val="kk-KZ" w:eastAsia="ru-RU"/>
        </w:rPr>
      </w:pPr>
    </w:p>
    <w:p w14:paraId="6919C668" w14:textId="77777777" w:rsidR="00DF3381" w:rsidRPr="005D4D1C" w:rsidRDefault="000A0115"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C473D3">
        <w:rPr>
          <w:rFonts w:ascii="Times New Roman" w:hAnsi="Times New Roman"/>
          <w:b/>
          <w:sz w:val="24"/>
          <w:szCs w:val="24"/>
          <w:lang w:val="kk-KZ" w:eastAsia="ru-RU"/>
        </w:rPr>
        <w:t>6. ФАРМАЦЕВТИКАЛЫҚ СИПАТТАМАЛАРЫ</w:t>
      </w:r>
    </w:p>
    <w:p w14:paraId="1CDD6065" w14:textId="77777777" w:rsidR="005921EA" w:rsidRPr="005D4D1C" w:rsidRDefault="000A0115"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C473D3">
        <w:rPr>
          <w:rFonts w:ascii="Times New Roman" w:hAnsi="Times New Roman"/>
          <w:b/>
          <w:sz w:val="24"/>
          <w:szCs w:val="24"/>
          <w:lang w:val="kk-KZ" w:eastAsia="ru-RU"/>
        </w:rPr>
        <w:t>6.1. Қосымша заттар тізбесі</w:t>
      </w:r>
    </w:p>
    <w:p w14:paraId="73C7C9A5" w14:textId="77777777" w:rsidR="00B51D02" w:rsidRPr="005D4D1C" w:rsidRDefault="000A0115"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C473D3">
        <w:rPr>
          <w:rFonts w:ascii="Times New Roman" w:eastAsia="TimesNewRomanPSMT" w:hAnsi="Times New Roman"/>
          <w:sz w:val="24"/>
          <w:szCs w:val="24"/>
          <w:lang w:val="kk-KZ" w:eastAsia="ru-RU"/>
        </w:rPr>
        <w:t>Маннитол (Перлитол 25С),</w:t>
      </w:r>
    </w:p>
    <w:p w14:paraId="528FBFAB" w14:textId="77777777" w:rsidR="00B51D02" w:rsidRPr="00C473D3" w:rsidRDefault="000A0115" w:rsidP="0078568D">
      <w:pPr>
        <w:autoSpaceDE w:val="0"/>
        <w:autoSpaceDN w:val="0"/>
        <w:adjustRightInd w:val="0"/>
        <w:spacing w:after="0" w:line="240" w:lineRule="auto"/>
        <w:rPr>
          <w:rFonts w:ascii="Times New Roman" w:eastAsia="TimesNewRomanPSMT" w:hAnsi="Times New Roman"/>
          <w:sz w:val="24"/>
          <w:szCs w:val="24"/>
          <w:lang w:eastAsia="ru-RU"/>
        </w:rPr>
      </w:pPr>
      <w:r w:rsidRPr="00C473D3">
        <w:rPr>
          <w:rFonts w:ascii="Times New Roman" w:eastAsia="TimesNewRomanPSMT" w:hAnsi="Times New Roman"/>
          <w:sz w:val="24"/>
          <w:szCs w:val="24"/>
          <w:lang w:val="kk-KZ" w:eastAsia="ru-RU"/>
        </w:rPr>
        <w:t>гипромеллоза Е5,</w:t>
      </w:r>
    </w:p>
    <w:p w14:paraId="6FB8DF5B" w14:textId="77777777" w:rsidR="00B51D02" w:rsidRPr="00C473D3" w:rsidRDefault="000A0115" w:rsidP="0078568D">
      <w:pPr>
        <w:autoSpaceDE w:val="0"/>
        <w:autoSpaceDN w:val="0"/>
        <w:adjustRightInd w:val="0"/>
        <w:spacing w:after="0" w:line="240" w:lineRule="auto"/>
        <w:rPr>
          <w:rFonts w:ascii="Times New Roman" w:eastAsia="TimesNewRomanPSMT" w:hAnsi="Times New Roman"/>
          <w:sz w:val="24"/>
          <w:szCs w:val="24"/>
          <w:lang w:eastAsia="ru-RU"/>
        </w:rPr>
      </w:pPr>
      <w:r w:rsidRPr="00C473D3">
        <w:rPr>
          <w:rFonts w:ascii="Times New Roman" w:eastAsia="TimesNewRomanPSMT" w:hAnsi="Times New Roman"/>
          <w:sz w:val="24"/>
          <w:szCs w:val="24"/>
          <w:lang w:val="kk-KZ" w:eastAsia="ru-RU"/>
        </w:rPr>
        <w:t>натрий кроскармеллозасы,</w:t>
      </w:r>
    </w:p>
    <w:p w14:paraId="225D96E7" w14:textId="77777777" w:rsidR="00215CBB" w:rsidRPr="00C473D3" w:rsidRDefault="000A0115" w:rsidP="0078568D">
      <w:pPr>
        <w:autoSpaceDE w:val="0"/>
        <w:autoSpaceDN w:val="0"/>
        <w:adjustRightInd w:val="0"/>
        <w:spacing w:after="0" w:line="240" w:lineRule="auto"/>
        <w:rPr>
          <w:rFonts w:ascii="Times New Roman" w:eastAsia="TimesNewRomanPSMT" w:hAnsi="Times New Roman"/>
          <w:sz w:val="24"/>
          <w:szCs w:val="24"/>
          <w:lang w:eastAsia="ru-RU"/>
        </w:rPr>
      </w:pPr>
      <w:r w:rsidRPr="00C473D3">
        <w:rPr>
          <w:rFonts w:ascii="Times New Roman" w:eastAsia="TimesNewRomanPSMT" w:hAnsi="Times New Roman"/>
          <w:sz w:val="24"/>
          <w:szCs w:val="24"/>
          <w:lang w:val="kk-KZ" w:eastAsia="ru-RU"/>
        </w:rPr>
        <w:lastRenderedPageBreak/>
        <w:t>магний стеараты,</w:t>
      </w:r>
    </w:p>
    <w:p w14:paraId="7B72E4AC" w14:textId="77777777" w:rsidR="00B51D02" w:rsidRPr="00C473D3" w:rsidRDefault="0085434F" w:rsidP="0078568D">
      <w:pPr>
        <w:autoSpaceDE w:val="0"/>
        <w:autoSpaceDN w:val="0"/>
        <w:adjustRightInd w:val="0"/>
        <w:spacing w:after="0" w:line="240" w:lineRule="auto"/>
        <w:rPr>
          <w:rFonts w:ascii="Times New Roman" w:eastAsia="TimesNewRomanPSMT" w:hAnsi="Times New Roman"/>
          <w:sz w:val="24"/>
          <w:szCs w:val="24"/>
          <w:lang w:eastAsia="ru-RU"/>
        </w:rPr>
      </w:pPr>
      <w:r>
        <w:rPr>
          <w:rFonts w:ascii="Times New Roman" w:eastAsia="TimesNewRomanPSMT" w:hAnsi="Times New Roman"/>
          <w:sz w:val="24"/>
          <w:szCs w:val="24"/>
          <w:lang w:val="kk-KZ" w:eastAsia="ru-RU"/>
        </w:rPr>
        <w:t>Табкоат ТС-520127 сары үлб</w:t>
      </w:r>
      <w:r w:rsidR="000A0115" w:rsidRPr="00C473D3">
        <w:rPr>
          <w:rFonts w:ascii="Times New Roman" w:eastAsia="TimesNewRomanPSMT" w:hAnsi="Times New Roman"/>
          <w:sz w:val="24"/>
          <w:szCs w:val="24"/>
          <w:lang w:val="kk-KZ" w:eastAsia="ru-RU"/>
        </w:rPr>
        <w:t>ір жабыны:</w:t>
      </w:r>
    </w:p>
    <w:p w14:paraId="01BB82A4" w14:textId="77777777" w:rsidR="00B51D02" w:rsidRPr="00C473D3" w:rsidRDefault="000A0115" w:rsidP="0078568D">
      <w:pPr>
        <w:autoSpaceDE w:val="0"/>
        <w:autoSpaceDN w:val="0"/>
        <w:adjustRightInd w:val="0"/>
        <w:spacing w:after="0" w:line="240" w:lineRule="auto"/>
        <w:rPr>
          <w:rFonts w:ascii="Times New Roman" w:eastAsia="TimesNewRomanPSMT" w:hAnsi="Times New Roman"/>
          <w:sz w:val="24"/>
          <w:szCs w:val="24"/>
          <w:lang w:eastAsia="ru-RU"/>
        </w:rPr>
      </w:pPr>
      <w:r w:rsidRPr="00C473D3">
        <w:rPr>
          <w:rFonts w:ascii="Times New Roman" w:eastAsia="TimesNewRomanPSMT" w:hAnsi="Times New Roman"/>
          <w:sz w:val="24"/>
          <w:szCs w:val="24"/>
          <w:lang w:val="kk-KZ" w:eastAsia="ru-RU"/>
        </w:rPr>
        <w:t>гипромеллоза 2910 6 мПас (Е 464),</w:t>
      </w:r>
    </w:p>
    <w:p w14:paraId="118F6D47" w14:textId="77777777" w:rsidR="00B51D02" w:rsidRPr="00C473D3" w:rsidRDefault="000A0115" w:rsidP="0078568D">
      <w:pPr>
        <w:autoSpaceDE w:val="0"/>
        <w:autoSpaceDN w:val="0"/>
        <w:adjustRightInd w:val="0"/>
        <w:spacing w:after="0" w:line="240" w:lineRule="auto"/>
        <w:rPr>
          <w:rFonts w:ascii="Times New Roman" w:eastAsia="TimesNewRomanPSMT" w:hAnsi="Times New Roman"/>
          <w:sz w:val="24"/>
          <w:szCs w:val="24"/>
          <w:lang w:eastAsia="ru-RU"/>
        </w:rPr>
      </w:pPr>
      <w:r w:rsidRPr="00C473D3">
        <w:rPr>
          <w:rFonts w:ascii="Times New Roman" w:eastAsia="TimesNewRomanPSMT" w:hAnsi="Times New Roman"/>
          <w:sz w:val="24"/>
          <w:szCs w:val="24"/>
          <w:lang w:val="kk-KZ" w:eastAsia="ru-RU"/>
        </w:rPr>
        <w:t>титанның қостотығы (Е 171),</w:t>
      </w:r>
    </w:p>
    <w:p w14:paraId="465FE9E7" w14:textId="77777777" w:rsidR="00B51D02" w:rsidRPr="00C473D3" w:rsidRDefault="000A0115" w:rsidP="0078568D">
      <w:pPr>
        <w:autoSpaceDE w:val="0"/>
        <w:autoSpaceDN w:val="0"/>
        <w:adjustRightInd w:val="0"/>
        <w:spacing w:after="0" w:line="240" w:lineRule="auto"/>
        <w:rPr>
          <w:rFonts w:ascii="Times New Roman" w:eastAsia="TimesNewRomanPSMT" w:hAnsi="Times New Roman"/>
          <w:sz w:val="24"/>
          <w:szCs w:val="24"/>
          <w:lang w:eastAsia="ru-RU"/>
        </w:rPr>
      </w:pPr>
      <w:r w:rsidRPr="00C473D3">
        <w:rPr>
          <w:rFonts w:ascii="Times New Roman" w:eastAsia="TimesNewRomanPSMT" w:hAnsi="Times New Roman"/>
          <w:sz w:val="24"/>
          <w:szCs w:val="24"/>
          <w:lang w:val="kk-KZ" w:eastAsia="ru-RU"/>
        </w:rPr>
        <w:t>тальк (Е 553b),</w:t>
      </w:r>
    </w:p>
    <w:p w14:paraId="689D1ABB" w14:textId="77777777" w:rsidR="00B51D02" w:rsidRPr="00C473D3" w:rsidRDefault="000A0115" w:rsidP="0078568D">
      <w:pPr>
        <w:autoSpaceDE w:val="0"/>
        <w:autoSpaceDN w:val="0"/>
        <w:adjustRightInd w:val="0"/>
        <w:spacing w:after="0" w:line="240" w:lineRule="auto"/>
        <w:rPr>
          <w:rFonts w:ascii="Times New Roman" w:eastAsia="TimesNewRomanPSMT" w:hAnsi="Times New Roman"/>
          <w:sz w:val="24"/>
          <w:szCs w:val="24"/>
          <w:lang w:eastAsia="ru-RU"/>
        </w:rPr>
      </w:pPr>
      <w:r w:rsidRPr="00C473D3">
        <w:rPr>
          <w:rFonts w:ascii="Times New Roman" w:eastAsia="TimesNewRomanPSMT" w:hAnsi="Times New Roman"/>
          <w:sz w:val="24"/>
          <w:szCs w:val="24"/>
          <w:lang w:val="kk-KZ" w:eastAsia="ru-RU"/>
        </w:rPr>
        <w:t>макрогол (Е1521),</w:t>
      </w:r>
    </w:p>
    <w:p w14:paraId="6E1773A3" w14:textId="77777777" w:rsidR="00B51D02" w:rsidRPr="00C473D3" w:rsidRDefault="000A0115" w:rsidP="0078568D">
      <w:pPr>
        <w:autoSpaceDE w:val="0"/>
        <w:autoSpaceDN w:val="0"/>
        <w:adjustRightInd w:val="0"/>
        <w:spacing w:after="0" w:line="240" w:lineRule="auto"/>
        <w:rPr>
          <w:rFonts w:ascii="Times New Roman" w:eastAsia="TimesNewRomanPSMT" w:hAnsi="Times New Roman"/>
          <w:sz w:val="24"/>
          <w:szCs w:val="24"/>
          <w:lang w:eastAsia="ru-RU"/>
        </w:rPr>
      </w:pPr>
      <w:r w:rsidRPr="00C473D3">
        <w:rPr>
          <w:rFonts w:ascii="Times New Roman" w:eastAsia="TimesNewRomanPSMT" w:hAnsi="Times New Roman"/>
          <w:sz w:val="24"/>
          <w:szCs w:val="24"/>
          <w:lang w:val="kk-KZ" w:eastAsia="ru-RU"/>
        </w:rPr>
        <w:t>темірдің сары тотығы (Е 172),</w:t>
      </w:r>
    </w:p>
    <w:p w14:paraId="14BC3026" w14:textId="1FC2649E" w:rsidR="00B51D02" w:rsidRDefault="000A0115"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C473D3">
        <w:rPr>
          <w:rFonts w:ascii="Times New Roman" w:eastAsia="TimesNewRomanPSMT" w:hAnsi="Times New Roman"/>
          <w:sz w:val="24"/>
          <w:szCs w:val="24"/>
          <w:lang w:val="kk-KZ" w:eastAsia="ru-RU"/>
        </w:rPr>
        <w:t>темірдің қызыл тотығы (Е 172)</w:t>
      </w:r>
    </w:p>
    <w:p w14:paraId="7F9AD3D1" w14:textId="77777777" w:rsidR="00141815" w:rsidRPr="00C473D3" w:rsidRDefault="00141815" w:rsidP="0078568D">
      <w:pPr>
        <w:autoSpaceDE w:val="0"/>
        <w:autoSpaceDN w:val="0"/>
        <w:adjustRightInd w:val="0"/>
        <w:spacing w:after="0" w:line="240" w:lineRule="auto"/>
        <w:rPr>
          <w:rFonts w:ascii="Times New Roman" w:eastAsia="TimesNewRomanPSMT" w:hAnsi="Times New Roman"/>
          <w:sz w:val="24"/>
          <w:szCs w:val="24"/>
          <w:lang w:eastAsia="ru-RU"/>
        </w:rPr>
      </w:pPr>
    </w:p>
    <w:p w14:paraId="128FE611" w14:textId="77777777" w:rsidR="00DF3381" w:rsidRPr="00C473D3" w:rsidRDefault="000A0115" w:rsidP="0078568D">
      <w:pPr>
        <w:autoSpaceDE w:val="0"/>
        <w:autoSpaceDN w:val="0"/>
        <w:adjustRightInd w:val="0"/>
        <w:spacing w:after="0" w:line="240" w:lineRule="auto"/>
        <w:rPr>
          <w:rFonts w:ascii="Times New Roman" w:eastAsia="TimesNewRomanPSMT" w:hAnsi="Times New Roman"/>
          <w:b/>
          <w:sz w:val="24"/>
          <w:szCs w:val="24"/>
          <w:lang w:eastAsia="ru-RU"/>
        </w:rPr>
      </w:pPr>
      <w:r w:rsidRPr="00C473D3">
        <w:rPr>
          <w:rFonts w:ascii="Times New Roman" w:hAnsi="Times New Roman"/>
          <w:b/>
          <w:sz w:val="24"/>
          <w:szCs w:val="24"/>
          <w:lang w:val="kk-KZ" w:eastAsia="ru-RU"/>
        </w:rPr>
        <w:t>6.2. Үйлесімсіздігі</w:t>
      </w:r>
    </w:p>
    <w:p w14:paraId="3579DFDC" w14:textId="71BCF1A2" w:rsidR="00215CBB" w:rsidRDefault="000A0115" w:rsidP="00215CBB">
      <w:pPr>
        <w:autoSpaceDE w:val="0"/>
        <w:autoSpaceDN w:val="0"/>
        <w:adjustRightInd w:val="0"/>
        <w:spacing w:after="0" w:line="240" w:lineRule="auto"/>
        <w:jc w:val="both"/>
        <w:rPr>
          <w:rFonts w:ascii="Times New Roman" w:eastAsia="TimesNewRomanPSMT" w:hAnsi="Times New Roman"/>
          <w:sz w:val="24"/>
          <w:szCs w:val="24"/>
          <w:lang w:val="kk-KZ" w:eastAsia="ru-RU"/>
        </w:rPr>
      </w:pPr>
      <w:r w:rsidRPr="00C473D3">
        <w:rPr>
          <w:rFonts w:ascii="Times New Roman" w:eastAsia="TimesNewRomanPSMT" w:hAnsi="Times New Roman"/>
          <w:sz w:val="24"/>
          <w:szCs w:val="24"/>
          <w:lang w:val="kk-KZ" w:eastAsia="ru-RU"/>
        </w:rPr>
        <w:t>Қатысты емес.</w:t>
      </w:r>
    </w:p>
    <w:p w14:paraId="788EC5AA" w14:textId="77777777" w:rsidR="00141815" w:rsidRPr="00C473D3" w:rsidRDefault="00141815" w:rsidP="00215CBB">
      <w:pPr>
        <w:autoSpaceDE w:val="0"/>
        <w:autoSpaceDN w:val="0"/>
        <w:adjustRightInd w:val="0"/>
        <w:spacing w:after="0" w:line="240" w:lineRule="auto"/>
        <w:jc w:val="both"/>
        <w:rPr>
          <w:rFonts w:ascii="Times New Roman" w:eastAsia="TimesNewRomanPSMT" w:hAnsi="Times New Roman"/>
          <w:sz w:val="24"/>
          <w:szCs w:val="24"/>
          <w:lang w:eastAsia="ru-RU"/>
        </w:rPr>
      </w:pPr>
    </w:p>
    <w:p w14:paraId="1F8DD1EA" w14:textId="77777777" w:rsidR="009128A3" w:rsidRPr="00C473D3" w:rsidRDefault="000A0115" w:rsidP="0078568D">
      <w:pPr>
        <w:spacing w:after="0" w:line="240" w:lineRule="auto"/>
        <w:jc w:val="both"/>
        <w:rPr>
          <w:rFonts w:ascii="Times New Roman" w:hAnsi="Times New Roman"/>
          <w:b/>
          <w:sz w:val="24"/>
          <w:szCs w:val="24"/>
          <w:lang w:bidi="ru-RU"/>
        </w:rPr>
      </w:pPr>
      <w:r w:rsidRPr="00C473D3">
        <w:rPr>
          <w:rFonts w:ascii="Times New Roman" w:hAnsi="Times New Roman"/>
          <w:b/>
          <w:sz w:val="24"/>
          <w:szCs w:val="24"/>
          <w:lang w:val="kk-KZ" w:bidi="ru-RU"/>
        </w:rPr>
        <w:t>6.3 Жарамдылық мерзімі</w:t>
      </w:r>
    </w:p>
    <w:p w14:paraId="1EBAD36E" w14:textId="77777777" w:rsidR="00CE03ED" w:rsidRPr="00C473D3" w:rsidRDefault="000A0115" w:rsidP="0078568D">
      <w:pPr>
        <w:spacing w:after="0" w:line="240" w:lineRule="auto"/>
        <w:jc w:val="both"/>
        <w:rPr>
          <w:rFonts w:ascii="Times New Roman" w:hAnsi="Times New Roman"/>
          <w:sz w:val="24"/>
          <w:szCs w:val="24"/>
          <w:lang w:bidi="ru-RU"/>
        </w:rPr>
      </w:pPr>
      <w:r>
        <w:rPr>
          <w:rFonts w:ascii="Times New Roman" w:hAnsi="Times New Roman"/>
          <w:sz w:val="24"/>
          <w:szCs w:val="24"/>
          <w:lang w:val="kk-KZ" w:bidi="ru-RU"/>
        </w:rPr>
        <w:t>2 жыл</w:t>
      </w:r>
    </w:p>
    <w:p w14:paraId="004DD923" w14:textId="2B3972B5" w:rsidR="00CE03ED" w:rsidRDefault="000A0115" w:rsidP="0078568D">
      <w:pPr>
        <w:spacing w:after="0" w:line="240" w:lineRule="auto"/>
        <w:jc w:val="both"/>
        <w:rPr>
          <w:rFonts w:ascii="Times New Roman" w:hAnsi="Times New Roman"/>
          <w:sz w:val="24"/>
          <w:szCs w:val="24"/>
          <w:lang w:val="kk-KZ" w:bidi="ru-RU"/>
        </w:rPr>
      </w:pPr>
      <w:r w:rsidRPr="00C473D3">
        <w:rPr>
          <w:rFonts w:ascii="Times New Roman" w:hAnsi="Times New Roman"/>
          <w:sz w:val="24"/>
          <w:szCs w:val="24"/>
          <w:lang w:val="kk-KZ" w:bidi="ru-RU"/>
        </w:rPr>
        <w:t>Жарамдылық мерзімі өткеннен кейін қолдануға болмайды.</w:t>
      </w:r>
    </w:p>
    <w:p w14:paraId="55F2435F" w14:textId="77777777" w:rsidR="00141815" w:rsidRPr="00C473D3" w:rsidRDefault="00141815" w:rsidP="0078568D">
      <w:pPr>
        <w:spacing w:after="0" w:line="240" w:lineRule="auto"/>
        <w:jc w:val="both"/>
        <w:rPr>
          <w:rFonts w:ascii="Times New Roman" w:hAnsi="Times New Roman"/>
          <w:sz w:val="24"/>
          <w:szCs w:val="24"/>
        </w:rPr>
      </w:pPr>
    </w:p>
    <w:p w14:paraId="458FD3B4" w14:textId="77777777" w:rsidR="00632571" w:rsidRPr="00C473D3" w:rsidRDefault="000A0115" w:rsidP="0078568D">
      <w:pPr>
        <w:spacing w:after="0" w:line="240" w:lineRule="auto"/>
        <w:jc w:val="both"/>
        <w:rPr>
          <w:rFonts w:ascii="Times New Roman" w:eastAsia="Times New Roman" w:hAnsi="Times New Roman"/>
          <w:b/>
          <w:sz w:val="24"/>
          <w:szCs w:val="24"/>
          <w:lang w:eastAsia="ru-RU"/>
        </w:rPr>
      </w:pPr>
      <w:r w:rsidRPr="00C473D3">
        <w:rPr>
          <w:rFonts w:ascii="Times New Roman" w:eastAsia="Times New Roman" w:hAnsi="Times New Roman"/>
          <w:b/>
          <w:sz w:val="24"/>
          <w:szCs w:val="24"/>
          <w:lang w:val="kk-KZ" w:eastAsia="ru-RU"/>
        </w:rPr>
        <w:t>6.4 Сақтау кезіндегі айрықша сақтандыру шаралары</w:t>
      </w:r>
    </w:p>
    <w:p w14:paraId="39B97EE1" w14:textId="77777777" w:rsidR="00632571" w:rsidRPr="00C473D3" w:rsidRDefault="000A0115" w:rsidP="0078568D">
      <w:pPr>
        <w:spacing w:after="0" w:line="240" w:lineRule="auto"/>
        <w:jc w:val="both"/>
        <w:rPr>
          <w:rFonts w:ascii="Times New Roman" w:hAnsi="Times New Roman"/>
          <w:sz w:val="24"/>
          <w:szCs w:val="24"/>
        </w:rPr>
      </w:pPr>
      <w:r w:rsidRPr="00C473D3">
        <w:rPr>
          <w:rFonts w:ascii="Times New Roman" w:hAnsi="Times New Roman"/>
          <w:sz w:val="24"/>
          <w:szCs w:val="24"/>
          <w:lang w:val="kk-KZ"/>
        </w:rPr>
        <w:t>Құрғақ, жарықтан қорғалған жерде, 30</w:t>
      </w:r>
      <w:r w:rsidR="003065D4" w:rsidRPr="00C473D3">
        <w:rPr>
          <w:rFonts w:ascii="Symbol" w:hAnsi="Symbol"/>
          <w:sz w:val="24"/>
          <w:szCs w:val="24"/>
          <w:lang w:val="kk-KZ"/>
        </w:rPr>
        <w:sym w:font="Symbol" w:char="F0B0"/>
      </w:r>
      <w:r w:rsidRPr="00C473D3">
        <w:rPr>
          <w:rFonts w:ascii="Times New Roman" w:hAnsi="Times New Roman"/>
          <w:sz w:val="24"/>
          <w:szCs w:val="24"/>
          <w:lang w:val="kk-KZ"/>
        </w:rPr>
        <w:t>С-ден аспайтын температурада сақтау керек.</w:t>
      </w:r>
    </w:p>
    <w:p w14:paraId="1C45417A" w14:textId="4A0F8780" w:rsidR="00632571" w:rsidRDefault="000A0115" w:rsidP="0078568D">
      <w:pPr>
        <w:spacing w:after="0" w:line="240" w:lineRule="auto"/>
        <w:jc w:val="both"/>
        <w:rPr>
          <w:rFonts w:ascii="Times New Roman" w:hAnsi="Times New Roman"/>
          <w:sz w:val="24"/>
          <w:szCs w:val="24"/>
          <w:lang w:val="kk-KZ"/>
        </w:rPr>
      </w:pPr>
      <w:r w:rsidRPr="00C473D3">
        <w:rPr>
          <w:rFonts w:ascii="Times New Roman" w:hAnsi="Times New Roman"/>
          <w:sz w:val="24"/>
          <w:szCs w:val="24"/>
          <w:lang w:val="kk-KZ"/>
        </w:rPr>
        <w:t xml:space="preserve">Балалардың қолы жетпейтін жерде сақтау керек! </w:t>
      </w:r>
      <w:bookmarkStart w:id="6" w:name="2175220289"/>
    </w:p>
    <w:p w14:paraId="50CE1A3B" w14:textId="77777777" w:rsidR="00141815" w:rsidRPr="00C473D3" w:rsidRDefault="00141815" w:rsidP="0078568D">
      <w:pPr>
        <w:spacing w:after="0" w:line="240" w:lineRule="auto"/>
        <w:jc w:val="both"/>
        <w:rPr>
          <w:rFonts w:ascii="Times New Roman" w:hAnsi="Times New Roman"/>
          <w:sz w:val="24"/>
          <w:szCs w:val="24"/>
        </w:rPr>
      </w:pPr>
    </w:p>
    <w:bookmarkEnd w:id="6"/>
    <w:p w14:paraId="27EDA097" w14:textId="77777777" w:rsidR="00B90A1E" w:rsidRPr="00C473D3" w:rsidRDefault="000A0115" w:rsidP="0078568D">
      <w:pPr>
        <w:autoSpaceDE w:val="0"/>
        <w:autoSpaceDN w:val="0"/>
        <w:adjustRightInd w:val="0"/>
        <w:spacing w:after="0" w:line="240" w:lineRule="auto"/>
        <w:rPr>
          <w:rFonts w:ascii="Times New Roman" w:eastAsia="TimesNewRomanPSMT" w:hAnsi="Times New Roman"/>
          <w:b/>
          <w:sz w:val="24"/>
          <w:szCs w:val="24"/>
          <w:lang w:eastAsia="ru-RU"/>
        </w:rPr>
      </w:pPr>
      <w:r w:rsidRPr="00C473D3">
        <w:rPr>
          <w:rFonts w:ascii="Times New Roman" w:hAnsi="Times New Roman"/>
          <w:b/>
          <w:sz w:val="24"/>
          <w:szCs w:val="24"/>
          <w:lang w:val="kk-KZ" w:eastAsia="ru-RU"/>
        </w:rPr>
        <w:t xml:space="preserve">6.5 Шығарылу түрі және қаптамасы </w:t>
      </w:r>
    </w:p>
    <w:p w14:paraId="62368E54" w14:textId="77777777" w:rsidR="003065D4" w:rsidRPr="00C473D3" w:rsidRDefault="000A0115" w:rsidP="003065D4">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C473D3">
        <w:rPr>
          <w:rFonts w:ascii="Times New Roman" w:eastAsia="Microsoft Sans Serif" w:hAnsi="Times New Roman"/>
          <w:sz w:val="24"/>
          <w:szCs w:val="24"/>
          <w:lang w:val="kk-KZ" w:eastAsia="ru-RU" w:bidi="ru-RU"/>
        </w:rPr>
        <w:t xml:space="preserve">30 таблеткадан тығыздығы жоғары полиэтиленнен жасалған контейнерлерге салады. </w:t>
      </w:r>
    </w:p>
    <w:p w14:paraId="61FF25AC" w14:textId="1B51A9F4" w:rsidR="00A64919" w:rsidRDefault="000A0115" w:rsidP="003065D4">
      <w:pPr>
        <w:autoSpaceDE w:val="0"/>
        <w:autoSpaceDN w:val="0"/>
        <w:adjustRightInd w:val="0"/>
        <w:spacing w:after="0" w:line="240" w:lineRule="auto"/>
        <w:jc w:val="both"/>
        <w:rPr>
          <w:rFonts w:ascii="Times New Roman" w:eastAsia="Microsoft Sans Serif" w:hAnsi="Times New Roman"/>
          <w:sz w:val="24"/>
          <w:szCs w:val="24"/>
          <w:lang w:val="kk-KZ" w:eastAsia="ru-RU" w:bidi="ru-RU"/>
        </w:rPr>
      </w:pPr>
      <w:r w:rsidRPr="00C473D3">
        <w:rPr>
          <w:rFonts w:ascii="Times New Roman" w:eastAsia="Microsoft Sans Serif" w:hAnsi="Times New Roman"/>
          <w:sz w:val="24"/>
          <w:szCs w:val="24"/>
          <w:lang w:val="kk-KZ" w:eastAsia="ru-RU" w:bidi="ru-RU"/>
        </w:rPr>
        <w:t>Бір контейнерден медициналық қолдану жөніндегі қазақ және орыс тілдеріндегі нұсқаулықпен бірге картон қорапшаға салады.</w:t>
      </w:r>
    </w:p>
    <w:p w14:paraId="26F1C178" w14:textId="77777777" w:rsidR="00141815" w:rsidRPr="00C473D3" w:rsidRDefault="00141815" w:rsidP="003065D4">
      <w:pPr>
        <w:autoSpaceDE w:val="0"/>
        <w:autoSpaceDN w:val="0"/>
        <w:adjustRightInd w:val="0"/>
        <w:spacing w:after="0" w:line="240" w:lineRule="auto"/>
        <w:jc w:val="both"/>
        <w:rPr>
          <w:rFonts w:ascii="Times New Roman" w:eastAsia="Microsoft Sans Serif" w:hAnsi="Times New Roman"/>
          <w:sz w:val="24"/>
          <w:szCs w:val="24"/>
          <w:lang w:eastAsia="ru-RU" w:bidi="ru-RU"/>
        </w:rPr>
      </w:pPr>
    </w:p>
    <w:p w14:paraId="14552CAD" w14:textId="77777777" w:rsidR="00B90A1E" w:rsidRPr="00C473D3" w:rsidRDefault="000A0115" w:rsidP="003065D4">
      <w:pPr>
        <w:autoSpaceDE w:val="0"/>
        <w:autoSpaceDN w:val="0"/>
        <w:adjustRightInd w:val="0"/>
        <w:spacing w:after="0" w:line="240" w:lineRule="auto"/>
        <w:jc w:val="both"/>
        <w:rPr>
          <w:rFonts w:ascii="Times New Roman" w:eastAsia="TimesNewRomanPSMT" w:hAnsi="Times New Roman"/>
          <w:b/>
          <w:sz w:val="24"/>
          <w:szCs w:val="24"/>
          <w:lang w:eastAsia="ru-RU"/>
        </w:rPr>
      </w:pPr>
      <w:r w:rsidRPr="00C473D3">
        <w:rPr>
          <w:rFonts w:ascii="Times New Roman" w:hAnsi="Times New Roman"/>
          <w:b/>
          <w:sz w:val="24"/>
          <w:szCs w:val="24"/>
          <w:lang w:val="kk-KZ"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229F9F9F" w14:textId="60A0CB15" w:rsidR="00BC55DB" w:rsidRDefault="000A0115" w:rsidP="0078568D">
      <w:pPr>
        <w:autoSpaceDE w:val="0"/>
        <w:autoSpaceDN w:val="0"/>
        <w:adjustRightInd w:val="0"/>
        <w:spacing w:after="0" w:line="240" w:lineRule="auto"/>
        <w:rPr>
          <w:rFonts w:ascii="Times New Roman" w:hAnsi="Times New Roman"/>
          <w:sz w:val="24"/>
          <w:szCs w:val="24"/>
          <w:lang w:val="kk-KZ"/>
        </w:rPr>
      </w:pPr>
      <w:r w:rsidRPr="00C473D3">
        <w:rPr>
          <w:rFonts w:ascii="Times New Roman" w:hAnsi="Times New Roman"/>
          <w:sz w:val="24"/>
          <w:szCs w:val="24"/>
          <w:lang w:val="kk-KZ"/>
        </w:rPr>
        <w:t>Талаптарға сәйкес утилизациялау керек.</w:t>
      </w:r>
    </w:p>
    <w:p w14:paraId="60BB6822" w14:textId="77777777" w:rsidR="00724DB0" w:rsidRPr="00C473D3" w:rsidRDefault="000A0115" w:rsidP="0078568D">
      <w:pPr>
        <w:autoSpaceDE w:val="0"/>
        <w:autoSpaceDN w:val="0"/>
        <w:adjustRightInd w:val="0"/>
        <w:spacing w:after="0" w:line="240" w:lineRule="auto"/>
        <w:rPr>
          <w:rFonts w:ascii="Times New Roman" w:hAnsi="Times New Roman"/>
          <w:b/>
          <w:bCs/>
          <w:sz w:val="24"/>
          <w:szCs w:val="24"/>
        </w:rPr>
      </w:pPr>
      <w:r w:rsidRPr="00C473D3">
        <w:rPr>
          <w:rFonts w:ascii="Times New Roman" w:hAnsi="Times New Roman"/>
          <w:b/>
          <w:bCs/>
          <w:sz w:val="24"/>
          <w:szCs w:val="24"/>
          <w:lang w:val="kk-KZ"/>
        </w:rPr>
        <w:t xml:space="preserve">6.7 Дәріханалардан босатылу шарттары </w:t>
      </w:r>
    </w:p>
    <w:p w14:paraId="1096C43C" w14:textId="77777777" w:rsidR="004200EA" w:rsidRPr="00C473D3" w:rsidRDefault="000A0115" w:rsidP="0078568D">
      <w:pPr>
        <w:autoSpaceDE w:val="0"/>
        <w:autoSpaceDN w:val="0"/>
        <w:adjustRightInd w:val="0"/>
        <w:spacing w:after="0" w:line="240" w:lineRule="auto"/>
        <w:rPr>
          <w:rFonts w:ascii="Times New Roman" w:hAnsi="Times New Roman"/>
          <w:bCs/>
          <w:sz w:val="24"/>
          <w:szCs w:val="24"/>
        </w:rPr>
      </w:pPr>
      <w:r w:rsidRPr="00C473D3">
        <w:rPr>
          <w:rFonts w:ascii="Times New Roman" w:hAnsi="Times New Roman"/>
          <w:bCs/>
          <w:sz w:val="24"/>
          <w:szCs w:val="24"/>
          <w:lang w:val="kk-KZ"/>
        </w:rPr>
        <w:t>Рецепт арқылы</w:t>
      </w:r>
    </w:p>
    <w:p w14:paraId="02F2EA26" w14:textId="77777777" w:rsidR="00D041C3" w:rsidRPr="00C473D3" w:rsidRDefault="00D041C3" w:rsidP="0078568D">
      <w:pPr>
        <w:autoSpaceDE w:val="0"/>
        <w:autoSpaceDN w:val="0"/>
        <w:adjustRightInd w:val="0"/>
        <w:spacing w:after="0" w:line="240" w:lineRule="auto"/>
        <w:rPr>
          <w:rFonts w:ascii="Times New Roman" w:hAnsi="Times New Roman"/>
          <w:b/>
          <w:sz w:val="24"/>
          <w:szCs w:val="24"/>
        </w:rPr>
      </w:pPr>
    </w:p>
    <w:p w14:paraId="3C0D57B2" w14:textId="77777777" w:rsidR="00120934" w:rsidRPr="00C473D3" w:rsidRDefault="000A0115" w:rsidP="0078568D">
      <w:pPr>
        <w:autoSpaceDE w:val="0"/>
        <w:autoSpaceDN w:val="0"/>
        <w:spacing w:after="0" w:line="240" w:lineRule="auto"/>
        <w:jc w:val="both"/>
        <w:rPr>
          <w:rFonts w:ascii="Times New Roman" w:eastAsia="Times New Roman" w:hAnsi="Times New Roman"/>
          <w:b/>
          <w:sz w:val="24"/>
          <w:szCs w:val="24"/>
          <w:lang w:eastAsia="ru-RU"/>
        </w:rPr>
      </w:pPr>
      <w:r w:rsidRPr="00C473D3">
        <w:rPr>
          <w:rFonts w:ascii="Times New Roman" w:eastAsia="Times New Roman" w:hAnsi="Times New Roman"/>
          <w:b/>
          <w:sz w:val="24"/>
          <w:szCs w:val="24"/>
          <w:lang w:val="kk-KZ" w:eastAsia="ru-RU"/>
        </w:rPr>
        <w:t>7. ТІРКЕУ КУӘЛІГІНІҢ ҰСТАУШЫСЫ</w:t>
      </w:r>
    </w:p>
    <w:p w14:paraId="66EA21BA" w14:textId="77777777" w:rsidR="00A64919" w:rsidRPr="005D4D1C" w:rsidRDefault="000A0115" w:rsidP="00A64919">
      <w:pPr>
        <w:pStyle w:val="Style5"/>
        <w:tabs>
          <w:tab w:val="left" w:pos="7371"/>
        </w:tabs>
        <w:spacing w:line="240" w:lineRule="auto"/>
        <w:rPr>
          <w:rFonts w:eastAsia="Microsoft Sans Serif"/>
          <w:lang w:bidi="ru-RU"/>
        </w:rPr>
      </w:pPr>
      <w:r w:rsidRPr="00C473D3">
        <w:rPr>
          <w:rFonts w:eastAsia="Microsoft Sans Serif"/>
          <w:lang w:val="kk-KZ" w:bidi="ru-RU"/>
        </w:rPr>
        <w:t xml:space="preserve">BDR Pharmaceuticals International Pvt. Ltd., </w:t>
      </w:r>
    </w:p>
    <w:p w14:paraId="3F1CDA27" w14:textId="77777777" w:rsidR="00A64919" w:rsidRPr="005D4D1C" w:rsidRDefault="000A0115" w:rsidP="00A64919">
      <w:pPr>
        <w:pStyle w:val="Style5"/>
        <w:tabs>
          <w:tab w:val="left" w:pos="7371"/>
        </w:tabs>
        <w:spacing w:line="240" w:lineRule="auto"/>
        <w:rPr>
          <w:rFonts w:eastAsia="Microsoft Sans Serif"/>
          <w:lang w:val="kk-KZ" w:bidi="ru-RU"/>
        </w:rPr>
      </w:pPr>
      <w:r w:rsidRPr="00C473D3">
        <w:rPr>
          <w:rFonts w:eastAsia="Microsoft Sans Serif"/>
          <w:lang w:val="kk-KZ" w:bidi="ru-RU"/>
        </w:rPr>
        <w:t>R.S. No: 578, Near Effluent Channel Road, Village: Luna, Taluka: Padra, District: Vadodara – 391440. Gujarat, Үндістан.</w:t>
      </w:r>
    </w:p>
    <w:p w14:paraId="50E9CE21" w14:textId="77777777" w:rsidR="00A64919" w:rsidRPr="005D4D1C" w:rsidRDefault="000A0115" w:rsidP="00A64919">
      <w:pPr>
        <w:pStyle w:val="Style5"/>
        <w:tabs>
          <w:tab w:val="left" w:pos="7371"/>
        </w:tabs>
        <w:spacing w:line="240" w:lineRule="auto"/>
        <w:rPr>
          <w:rFonts w:eastAsia="Microsoft Sans Serif"/>
          <w:lang w:val="kk-KZ" w:bidi="ru-RU"/>
        </w:rPr>
      </w:pPr>
      <w:r>
        <w:rPr>
          <w:rFonts w:eastAsia="Microsoft Sans Serif"/>
          <w:lang w:val="kk-KZ" w:bidi="ru-RU"/>
        </w:rPr>
        <w:t>Тел. +91 22 4056 0560, bdrpharma@vsnl.com</w:t>
      </w:r>
    </w:p>
    <w:p w14:paraId="3495982A" w14:textId="77777777" w:rsidR="00A64919" w:rsidRPr="005D4D1C" w:rsidRDefault="000A0115" w:rsidP="00A64919">
      <w:pPr>
        <w:pStyle w:val="Style5"/>
        <w:tabs>
          <w:tab w:val="left" w:pos="7371"/>
        </w:tabs>
        <w:spacing w:line="240" w:lineRule="auto"/>
        <w:rPr>
          <w:rFonts w:eastAsia="Microsoft Sans Serif"/>
          <w:lang w:val="kk-KZ" w:bidi="ru-RU"/>
        </w:rPr>
      </w:pPr>
      <w:r w:rsidRPr="005D4D1C">
        <w:rPr>
          <w:rFonts w:eastAsia="Microsoft Sans Serif"/>
          <w:lang w:val="kk-KZ" w:bidi="ru-RU"/>
        </w:rPr>
        <w:t xml:space="preserve">      </w:t>
      </w:r>
    </w:p>
    <w:p w14:paraId="69FB445E" w14:textId="77777777" w:rsidR="00A64919" w:rsidRPr="005D4D1C" w:rsidRDefault="000A0115" w:rsidP="00B6462C">
      <w:pPr>
        <w:pStyle w:val="Style5"/>
        <w:tabs>
          <w:tab w:val="left" w:pos="7371"/>
        </w:tabs>
        <w:spacing w:line="240" w:lineRule="auto"/>
        <w:jc w:val="left"/>
        <w:rPr>
          <w:rFonts w:eastAsia="Microsoft Sans Serif"/>
          <w:b/>
          <w:bCs/>
          <w:lang w:val="kk-KZ" w:bidi="ru-RU"/>
        </w:rPr>
      </w:pPr>
      <w:r w:rsidRPr="00C473D3">
        <w:rPr>
          <w:rFonts w:eastAsia="Microsoft Sans Serif"/>
          <w:b/>
          <w:bCs/>
          <w:lang w:val="kk-KZ" w:bidi="ru-RU"/>
        </w:rPr>
        <w:t>7.1. ТІРКЕУ КУӘЛІГІ ҰСТАУШЫСЫНЫҢ ӨКІЛІ</w:t>
      </w:r>
    </w:p>
    <w:p w14:paraId="677AC46E" w14:textId="77777777" w:rsidR="00A64919" w:rsidRPr="005D4D1C" w:rsidRDefault="000A0115" w:rsidP="00A64919">
      <w:pPr>
        <w:pStyle w:val="Style5"/>
        <w:tabs>
          <w:tab w:val="left" w:pos="7371"/>
        </w:tabs>
        <w:spacing w:line="240" w:lineRule="auto"/>
        <w:rPr>
          <w:rFonts w:eastAsia="Microsoft Sans Serif"/>
          <w:lang w:val="kk-KZ" w:bidi="ru-RU"/>
        </w:rPr>
      </w:pPr>
      <w:r w:rsidRPr="00C473D3">
        <w:rPr>
          <w:rFonts w:eastAsia="Microsoft Sans Serif"/>
          <w:lang w:val="kk-KZ" w:bidi="ru-RU"/>
        </w:rPr>
        <w:t>Тұтынушылардың шағымдарын мына мекенжайға жолдау керек:</w:t>
      </w:r>
    </w:p>
    <w:p w14:paraId="6BCE9A95" w14:textId="77777777" w:rsidR="00A64919" w:rsidRPr="005D4D1C" w:rsidRDefault="000A0115" w:rsidP="00A64919">
      <w:pPr>
        <w:pStyle w:val="Style5"/>
        <w:tabs>
          <w:tab w:val="left" w:pos="7371"/>
        </w:tabs>
        <w:spacing w:line="240" w:lineRule="auto"/>
        <w:rPr>
          <w:rFonts w:eastAsia="Microsoft Sans Serif"/>
          <w:lang w:val="kk-KZ" w:bidi="ru-RU"/>
        </w:rPr>
      </w:pPr>
      <w:r w:rsidRPr="00C473D3">
        <w:rPr>
          <w:rFonts w:eastAsia="Microsoft Sans Serif"/>
          <w:lang w:val="kk-KZ" w:bidi="ru-RU"/>
        </w:rPr>
        <w:t xml:space="preserve">Rogers Pharma ЖШС, Қазақстан Республикасы, 050043, </w:t>
      </w:r>
    </w:p>
    <w:p w14:paraId="700D322C" w14:textId="77777777" w:rsidR="00A64919" w:rsidRPr="00C473D3" w:rsidRDefault="000A0115" w:rsidP="00A64919">
      <w:pPr>
        <w:pStyle w:val="Style5"/>
        <w:tabs>
          <w:tab w:val="left" w:pos="7371"/>
        </w:tabs>
        <w:spacing w:line="240" w:lineRule="auto"/>
        <w:rPr>
          <w:rFonts w:eastAsia="Microsoft Sans Serif"/>
          <w:lang w:bidi="ru-RU"/>
        </w:rPr>
      </w:pPr>
      <w:r w:rsidRPr="00C473D3">
        <w:rPr>
          <w:rFonts w:eastAsia="Microsoft Sans Serif"/>
          <w:lang w:val="kk-KZ" w:bidi="ru-RU"/>
        </w:rPr>
        <w:t>Алматы қ.,  Мирас ш.а., 157, 819 т.е.</w:t>
      </w:r>
    </w:p>
    <w:p w14:paraId="454ABF7D" w14:textId="3A425D16" w:rsidR="00A64919" w:rsidRPr="00C473D3" w:rsidRDefault="000A0115" w:rsidP="00A64919">
      <w:pPr>
        <w:pStyle w:val="Style5"/>
        <w:tabs>
          <w:tab w:val="left" w:pos="7371"/>
        </w:tabs>
        <w:spacing w:line="240" w:lineRule="auto"/>
        <w:rPr>
          <w:rFonts w:eastAsia="Microsoft Sans Serif"/>
          <w:lang w:bidi="ru-RU"/>
        </w:rPr>
      </w:pPr>
      <w:r w:rsidRPr="00C473D3">
        <w:rPr>
          <w:rFonts w:eastAsia="Microsoft Sans Serif"/>
          <w:lang w:val="kk-KZ" w:bidi="ru-RU"/>
        </w:rPr>
        <w:t>Тел. +7</w:t>
      </w:r>
      <w:r w:rsidR="006E6F1F">
        <w:rPr>
          <w:rFonts w:eastAsia="Microsoft Sans Serif"/>
          <w:lang w:val="kk-KZ" w:bidi="ru-RU"/>
        </w:rPr>
        <w:t> </w:t>
      </w:r>
      <w:r w:rsidR="006E6F1F" w:rsidRPr="00141815">
        <w:rPr>
          <w:rFonts w:eastAsia="Microsoft Sans Serif"/>
          <w:lang w:bidi="ru-RU"/>
        </w:rPr>
        <w:t>(</w:t>
      </w:r>
      <w:r w:rsidRPr="00C473D3">
        <w:rPr>
          <w:rFonts w:eastAsia="Microsoft Sans Serif"/>
          <w:lang w:val="kk-KZ" w:bidi="ru-RU"/>
        </w:rPr>
        <w:t>727</w:t>
      </w:r>
      <w:r w:rsidR="006E6F1F" w:rsidRPr="00141815">
        <w:rPr>
          <w:rFonts w:eastAsia="Microsoft Sans Serif"/>
          <w:lang w:bidi="ru-RU"/>
        </w:rPr>
        <w:t>)</w:t>
      </w:r>
      <w:r w:rsidR="006E6F1F">
        <w:rPr>
          <w:rFonts w:eastAsia="Microsoft Sans Serif"/>
          <w:lang w:val="kk-KZ" w:bidi="ru-RU"/>
        </w:rPr>
        <w:t> </w:t>
      </w:r>
      <w:r w:rsidRPr="00C473D3">
        <w:rPr>
          <w:rFonts w:eastAsia="Microsoft Sans Serif"/>
          <w:lang w:val="kk-KZ" w:bidi="ru-RU"/>
        </w:rPr>
        <w:t>311</w:t>
      </w:r>
      <w:r w:rsidR="006E6F1F" w:rsidRPr="00141815">
        <w:rPr>
          <w:rFonts w:eastAsia="Microsoft Sans Serif"/>
          <w:lang w:bidi="ru-RU"/>
        </w:rPr>
        <w:t>-</w:t>
      </w:r>
      <w:r w:rsidRPr="00C473D3">
        <w:rPr>
          <w:rFonts w:eastAsia="Microsoft Sans Serif"/>
          <w:lang w:val="kk-KZ" w:bidi="ru-RU"/>
        </w:rPr>
        <w:t>81</w:t>
      </w:r>
      <w:r w:rsidR="006E6F1F" w:rsidRPr="00141815">
        <w:rPr>
          <w:rFonts w:eastAsia="Microsoft Sans Serif"/>
          <w:lang w:bidi="ru-RU"/>
        </w:rPr>
        <w:t>-</w:t>
      </w:r>
      <w:r w:rsidRPr="00C473D3">
        <w:rPr>
          <w:rFonts w:eastAsia="Microsoft Sans Serif"/>
          <w:lang w:val="kk-KZ" w:bidi="ru-RU"/>
        </w:rPr>
        <w:t xml:space="preserve">96/97, office.secretary@rogersgroup.in  </w:t>
      </w:r>
    </w:p>
    <w:p w14:paraId="5FA101D7" w14:textId="77777777" w:rsidR="00A64919" w:rsidRPr="00C473D3" w:rsidRDefault="000A0115" w:rsidP="00A64919">
      <w:pPr>
        <w:pStyle w:val="Style5"/>
        <w:tabs>
          <w:tab w:val="left" w:pos="7371"/>
        </w:tabs>
        <w:spacing w:line="240" w:lineRule="auto"/>
        <w:rPr>
          <w:rFonts w:eastAsia="Microsoft Sans Serif"/>
          <w:lang w:bidi="ru-RU"/>
        </w:rPr>
      </w:pPr>
      <w:r w:rsidRPr="00C473D3">
        <w:rPr>
          <w:rFonts w:eastAsia="Microsoft Sans Serif"/>
          <w:lang w:bidi="ru-RU"/>
        </w:rPr>
        <w:t xml:space="preserve">    </w:t>
      </w:r>
    </w:p>
    <w:p w14:paraId="3ED0705E" w14:textId="77777777" w:rsidR="00A64919" w:rsidRPr="00C473D3" w:rsidRDefault="000A0115" w:rsidP="00A64919">
      <w:pPr>
        <w:pStyle w:val="Style5"/>
        <w:tabs>
          <w:tab w:val="left" w:pos="7371"/>
        </w:tabs>
        <w:spacing w:line="240" w:lineRule="auto"/>
        <w:rPr>
          <w:rFonts w:eastAsia="Microsoft Sans Serif"/>
          <w:b/>
          <w:bCs/>
          <w:lang w:bidi="ru-RU"/>
        </w:rPr>
      </w:pPr>
      <w:r w:rsidRPr="00C473D3">
        <w:rPr>
          <w:rFonts w:eastAsia="Microsoft Sans Serif"/>
          <w:b/>
          <w:bCs/>
          <w:lang w:val="kk-KZ" w:bidi="ru-RU"/>
        </w:rPr>
        <w:t>8. ТІРКЕУ КУӘЛІГІНІҢ НӨМІРІ</w:t>
      </w:r>
    </w:p>
    <w:p w14:paraId="5D73A921" w14:textId="7448577A" w:rsidR="00A64919" w:rsidRDefault="00220B35" w:rsidP="00A64919">
      <w:pPr>
        <w:pStyle w:val="Style5"/>
        <w:tabs>
          <w:tab w:val="left" w:pos="7371"/>
        </w:tabs>
        <w:spacing w:line="240" w:lineRule="auto"/>
        <w:rPr>
          <w:rFonts w:eastAsia="Microsoft Sans Serif"/>
          <w:lang w:bidi="ru-RU"/>
        </w:rPr>
      </w:pPr>
      <w:r>
        <w:rPr>
          <w:rFonts w:eastAsia="Microsoft Sans Serif"/>
          <w:lang w:val="kk-KZ" w:bidi="ru-RU"/>
        </w:rPr>
        <w:t>ҚР</w:t>
      </w:r>
      <w:r w:rsidRPr="00220B35">
        <w:rPr>
          <w:rFonts w:eastAsia="Microsoft Sans Serif"/>
          <w:lang w:bidi="ru-RU"/>
        </w:rPr>
        <w:t>-</w:t>
      </w:r>
      <w:r>
        <w:rPr>
          <w:rFonts w:eastAsia="Microsoft Sans Serif"/>
          <w:lang w:val="kk-KZ" w:bidi="ru-RU"/>
        </w:rPr>
        <w:t>ДЗ</w:t>
      </w:r>
      <w:r w:rsidRPr="00220B35">
        <w:rPr>
          <w:rFonts w:eastAsia="Microsoft Sans Serif"/>
          <w:lang w:bidi="ru-RU"/>
        </w:rPr>
        <w:t>-5№025003</w:t>
      </w:r>
    </w:p>
    <w:p w14:paraId="38BAD143" w14:textId="77777777" w:rsidR="00220B35" w:rsidRPr="00C473D3" w:rsidRDefault="00220B35" w:rsidP="00A64919">
      <w:pPr>
        <w:pStyle w:val="Style5"/>
        <w:tabs>
          <w:tab w:val="left" w:pos="7371"/>
        </w:tabs>
        <w:spacing w:line="240" w:lineRule="auto"/>
        <w:rPr>
          <w:rFonts w:eastAsia="Microsoft Sans Serif"/>
          <w:lang w:bidi="ru-RU"/>
        </w:rPr>
      </w:pPr>
    </w:p>
    <w:p w14:paraId="392C2ECE" w14:textId="77777777" w:rsidR="00A64919" w:rsidRPr="005D4D1C" w:rsidRDefault="000A0115" w:rsidP="00A64919">
      <w:pPr>
        <w:pStyle w:val="Style5"/>
        <w:tabs>
          <w:tab w:val="left" w:pos="7371"/>
        </w:tabs>
        <w:spacing w:line="240" w:lineRule="auto"/>
        <w:rPr>
          <w:rFonts w:eastAsia="Microsoft Sans Serif"/>
          <w:b/>
          <w:bCs/>
          <w:lang w:val="kk-KZ" w:bidi="ru-RU"/>
        </w:rPr>
      </w:pPr>
      <w:r w:rsidRPr="00C473D3">
        <w:rPr>
          <w:rFonts w:eastAsia="Microsoft Sans Serif"/>
          <w:b/>
          <w:bCs/>
          <w:lang w:val="kk-KZ" w:bidi="ru-RU"/>
        </w:rPr>
        <w:t xml:space="preserve">  9. БАСТАПҚЫ ТІРКЕЛГЕН   (ТІРКЕУ, ҚАЙТА ТІРКЕУ  РАСТАЛҒАН) КҮН </w:t>
      </w:r>
    </w:p>
    <w:p w14:paraId="2FC346D2" w14:textId="77777777" w:rsidR="00220B35" w:rsidRPr="00220B35" w:rsidRDefault="00220B35" w:rsidP="00220B35">
      <w:pPr>
        <w:pStyle w:val="Style5"/>
        <w:tabs>
          <w:tab w:val="left" w:pos="7371"/>
        </w:tabs>
        <w:spacing w:line="240" w:lineRule="auto"/>
        <w:rPr>
          <w:rFonts w:eastAsia="Microsoft Sans Serif"/>
          <w:lang w:val="kk-KZ" w:bidi="ru-RU"/>
        </w:rPr>
      </w:pPr>
      <w:r w:rsidRPr="00220B35">
        <w:rPr>
          <w:rFonts w:eastAsia="Microsoft Sans Serif"/>
          <w:lang w:val="kk-KZ" w:bidi="ru-RU"/>
        </w:rPr>
        <w:t>23.04.2021</w:t>
      </w:r>
    </w:p>
    <w:p w14:paraId="6F0C6A2D" w14:textId="0C111B60" w:rsidR="00A64919" w:rsidRDefault="00220B35" w:rsidP="00220B35">
      <w:pPr>
        <w:pStyle w:val="Style5"/>
        <w:tabs>
          <w:tab w:val="left" w:pos="7371"/>
        </w:tabs>
        <w:spacing w:line="240" w:lineRule="auto"/>
        <w:rPr>
          <w:rFonts w:eastAsia="Microsoft Sans Serif"/>
          <w:lang w:val="kk-KZ" w:bidi="ru-RU"/>
        </w:rPr>
      </w:pPr>
      <w:r w:rsidRPr="00220B35">
        <w:rPr>
          <w:rFonts w:eastAsia="Microsoft Sans Serif"/>
          <w:lang w:val="kk-KZ" w:bidi="ru-RU"/>
        </w:rPr>
        <w:t>25.07.2025</w:t>
      </w:r>
    </w:p>
    <w:p w14:paraId="0753EFD8" w14:textId="77777777" w:rsidR="00220B35" w:rsidRPr="005D4D1C" w:rsidRDefault="00220B35" w:rsidP="00220B35">
      <w:pPr>
        <w:pStyle w:val="Style5"/>
        <w:tabs>
          <w:tab w:val="left" w:pos="7371"/>
        </w:tabs>
        <w:spacing w:line="240" w:lineRule="auto"/>
        <w:rPr>
          <w:rFonts w:eastAsia="Microsoft Sans Serif"/>
          <w:lang w:val="kk-KZ" w:bidi="ru-RU"/>
        </w:rPr>
      </w:pPr>
    </w:p>
    <w:p w14:paraId="4A523C47" w14:textId="77777777" w:rsidR="00A64919" w:rsidRPr="005D4D1C" w:rsidRDefault="000A0115" w:rsidP="00A64919">
      <w:pPr>
        <w:pStyle w:val="Style5"/>
        <w:tabs>
          <w:tab w:val="left" w:pos="7371"/>
        </w:tabs>
        <w:spacing w:line="240" w:lineRule="auto"/>
        <w:rPr>
          <w:rFonts w:eastAsia="Microsoft Sans Serif"/>
          <w:b/>
          <w:bCs/>
          <w:lang w:val="kk-KZ" w:bidi="ru-RU"/>
        </w:rPr>
      </w:pPr>
      <w:r w:rsidRPr="00C473D3">
        <w:rPr>
          <w:rFonts w:eastAsia="Microsoft Sans Serif"/>
          <w:b/>
          <w:bCs/>
          <w:lang w:val="kk-KZ" w:bidi="ru-RU"/>
        </w:rPr>
        <w:t>10. МӘТІН ҚАЙТА ҚАРАЛҒАН КҮН</w:t>
      </w:r>
    </w:p>
    <w:p w14:paraId="4FDF5A6A" w14:textId="77777777" w:rsidR="00A64919" w:rsidRPr="005D4D1C" w:rsidRDefault="000A0115" w:rsidP="00A64919">
      <w:pPr>
        <w:pStyle w:val="Style5"/>
        <w:tabs>
          <w:tab w:val="left" w:pos="7371"/>
        </w:tabs>
        <w:spacing w:line="240" w:lineRule="auto"/>
        <w:rPr>
          <w:rFonts w:eastAsia="Microsoft Sans Serif"/>
          <w:lang w:val="kk-KZ" w:bidi="ru-RU"/>
        </w:rPr>
      </w:pPr>
      <w:r w:rsidRPr="005D4D1C">
        <w:rPr>
          <w:rFonts w:eastAsia="Microsoft Sans Serif"/>
          <w:lang w:val="kk-KZ" w:bidi="ru-RU"/>
        </w:rPr>
        <w:lastRenderedPageBreak/>
        <w:t xml:space="preserve">   </w:t>
      </w:r>
    </w:p>
    <w:p w14:paraId="469C808E" w14:textId="7BF1AEFF" w:rsidR="00B91443" w:rsidRPr="005D4D1C" w:rsidRDefault="000A0115" w:rsidP="00A64919">
      <w:pPr>
        <w:pStyle w:val="Style5"/>
        <w:widowControl/>
        <w:tabs>
          <w:tab w:val="left" w:pos="7371"/>
        </w:tabs>
        <w:spacing w:line="240" w:lineRule="auto"/>
        <w:rPr>
          <w:rFonts w:eastAsia="Microsoft Sans Serif"/>
          <w:lang w:val="kk-KZ" w:bidi="ru-RU"/>
        </w:rPr>
      </w:pPr>
      <w:r w:rsidRPr="00C473D3">
        <w:rPr>
          <w:rFonts w:eastAsia="Microsoft Sans Serif"/>
          <w:lang w:val="kk-KZ" w:bidi="ru-RU"/>
        </w:rPr>
        <w:t>Дәрілік препараттың жалпы сипаттамасын ресми сайттан қарауға болады сайте www.ndda.kz.</w:t>
      </w:r>
    </w:p>
    <w:sectPr w:rsidR="00B91443" w:rsidRPr="005D4D1C" w:rsidSect="00F97B57">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3981" w14:textId="77777777" w:rsidR="003F63E2" w:rsidRDefault="003F63E2">
      <w:pPr>
        <w:spacing w:after="0" w:line="240" w:lineRule="auto"/>
      </w:pPr>
      <w:r>
        <w:separator/>
      </w:r>
    </w:p>
  </w:endnote>
  <w:endnote w:type="continuationSeparator" w:id="0">
    <w:p w14:paraId="2F39BEA1" w14:textId="77777777" w:rsidR="003F63E2" w:rsidRDefault="003F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340B" w14:textId="77777777" w:rsidR="003F63E2" w:rsidRDefault="003F63E2">
      <w:pPr>
        <w:spacing w:after="0" w:line="240" w:lineRule="auto"/>
      </w:pPr>
      <w:r>
        <w:separator/>
      </w:r>
    </w:p>
  </w:footnote>
  <w:footnote w:type="continuationSeparator" w:id="0">
    <w:p w14:paraId="5FA71DC6" w14:textId="77777777" w:rsidR="003F63E2" w:rsidRDefault="003F6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D5D4" w14:textId="77777777" w:rsidR="0027428C" w:rsidRDefault="0027428C">
    <w:pPr>
      <w:pStyle w:val="af1"/>
    </w:pPr>
    <w:r>
      <w:rPr>
        <w:noProof/>
        <w:lang w:eastAsia="ru-RU"/>
      </w:rPr>
      <mc:AlternateContent>
        <mc:Choice Requires="wps">
          <w:drawing>
            <wp:anchor distT="0" distB="0" distL="114300" distR="114300" simplePos="0" relativeHeight="251658240" behindDoc="0" locked="0" layoutInCell="1" allowOverlap="1" wp14:anchorId="34FB7F6C" wp14:editId="2F5431FF">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C0EC9FE" w14:textId="77777777" w:rsidR="0027428C" w:rsidRPr="00D275FC" w:rsidRDefault="0027428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34FB7F6C"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" filled="f" stroked="f" strokeweight=".5pt">
              <v:textbox style="layout-flow:vertical;mso-layout-flow-alt:bottom-to-top">
                <w:txbxContent>
                  <w:p w14:paraId="4C0EC9FE" w14:textId="77777777" w:rsidR="0027428C" w:rsidRPr="00D275FC" w:rsidRDefault="0027428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alt="Описание: Description: BT_1000x858px" style="width:15.6pt;height:13.8pt" o:bullet="t">
        <v:imagedata r:id="rId1" o:title=" BT_1000x858px"/>
      </v:shape>
    </w:pict>
  </w:numPicBullet>
  <w:abstractNum w:abstractNumId="0" w15:restartNumberingAfterBreak="0">
    <w:nsid w:val="02DB4B73"/>
    <w:multiLevelType w:val="hybridMultilevel"/>
    <w:tmpl w:val="6C2AFAB6"/>
    <w:lvl w:ilvl="0" w:tplc="0BD2CD44">
      <w:start w:val="1"/>
      <w:numFmt w:val="bullet"/>
      <w:lvlText w:val=""/>
      <w:lvlPicBulletId w:val="0"/>
      <w:lvlJc w:val="left"/>
      <w:pPr>
        <w:tabs>
          <w:tab w:val="num" w:pos="720"/>
        </w:tabs>
        <w:ind w:left="720" w:hanging="360"/>
      </w:pPr>
      <w:rPr>
        <w:rFonts w:ascii="Symbol" w:hAnsi="Symbol" w:hint="default"/>
      </w:rPr>
    </w:lvl>
    <w:lvl w:ilvl="1" w:tplc="25AC7F40" w:tentative="1">
      <w:start w:val="1"/>
      <w:numFmt w:val="bullet"/>
      <w:lvlText w:val=""/>
      <w:lvlJc w:val="left"/>
      <w:pPr>
        <w:tabs>
          <w:tab w:val="num" w:pos="1440"/>
        </w:tabs>
        <w:ind w:left="1440" w:hanging="360"/>
      </w:pPr>
      <w:rPr>
        <w:rFonts w:ascii="Symbol" w:hAnsi="Symbol" w:hint="default"/>
      </w:rPr>
    </w:lvl>
    <w:lvl w:ilvl="2" w:tplc="17D0CFD0" w:tentative="1">
      <w:start w:val="1"/>
      <w:numFmt w:val="bullet"/>
      <w:lvlText w:val=""/>
      <w:lvlJc w:val="left"/>
      <w:pPr>
        <w:tabs>
          <w:tab w:val="num" w:pos="2160"/>
        </w:tabs>
        <w:ind w:left="2160" w:hanging="360"/>
      </w:pPr>
      <w:rPr>
        <w:rFonts w:ascii="Symbol" w:hAnsi="Symbol" w:hint="default"/>
      </w:rPr>
    </w:lvl>
    <w:lvl w:ilvl="3" w:tplc="1F1CEB3E" w:tentative="1">
      <w:start w:val="1"/>
      <w:numFmt w:val="bullet"/>
      <w:lvlText w:val=""/>
      <w:lvlJc w:val="left"/>
      <w:pPr>
        <w:tabs>
          <w:tab w:val="num" w:pos="2880"/>
        </w:tabs>
        <w:ind w:left="2880" w:hanging="360"/>
      </w:pPr>
      <w:rPr>
        <w:rFonts w:ascii="Symbol" w:hAnsi="Symbol" w:hint="default"/>
      </w:rPr>
    </w:lvl>
    <w:lvl w:ilvl="4" w:tplc="3A983EA2" w:tentative="1">
      <w:start w:val="1"/>
      <w:numFmt w:val="bullet"/>
      <w:lvlText w:val=""/>
      <w:lvlJc w:val="left"/>
      <w:pPr>
        <w:tabs>
          <w:tab w:val="num" w:pos="3600"/>
        </w:tabs>
        <w:ind w:left="3600" w:hanging="360"/>
      </w:pPr>
      <w:rPr>
        <w:rFonts w:ascii="Symbol" w:hAnsi="Symbol" w:hint="default"/>
      </w:rPr>
    </w:lvl>
    <w:lvl w:ilvl="5" w:tplc="5DD40C4C" w:tentative="1">
      <w:start w:val="1"/>
      <w:numFmt w:val="bullet"/>
      <w:lvlText w:val=""/>
      <w:lvlJc w:val="left"/>
      <w:pPr>
        <w:tabs>
          <w:tab w:val="num" w:pos="4320"/>
        </w:tabs>
        <w:ind w:left="4320" w:hanging="360"/>
      </w:pPr>
      <w:rPr>
        <w:rFonts w:ascii="Symbol" w:hAnsi="Symbol" w:hint="default"/>
      </w:rPr>
    </w:lvl>
    <w:lvl w:ilvl="6" w:tplc="35E4C452" w:tentative="1">
      <w:start w:val="1"/>
      <w:numFmt w:val="bullet"/>
      <w:lvlText w:val=""/>
      <w:lvlJc w:val="left"/>
      <w:pPr>
        <w:tabs>
          <w:tab w:val="num" w:pos="5040"/>
        </w:tabs>
        <w:ind w:left="5040" w:hanging="360"/>
      </w:pPr>
      <w:rPr>
        <w:rFonts w:ascii="Symbol" w:hAnsi="Symbol" w:hint="default"/>
      </w:rPr>
    </w:lvl>
    <w:lvl w:ilvl="7" w:tplc="0D165030" w:tentative="1">
      <w:start w:val="1"/>
      <w:numFmt w:val="bullet"/>
      <w:lvlText w:val=""/>
      <w:lvlJc w:val="left"/>
      <w:pPr>
        <w:tabs>
          <w:tab w:val="num" w:pos="5760"/>
        </w:tabs>
        <w:ind w:left="5760" w:hanging="360"/>
      </w:pPr>
      <w:rPr>
        <w:rFonts w:ascii="Symbol" w:hAnsi="Symbol" w:hint="default"/>
      </w:rPr>
    </w:lvl>
    <w:lvl w:ilvl="8" w:tplc="A3A2E8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46522FCE">
      <w:numFmt w:val="bullet"/>
      <w:lvlText w:val="–"/>
      <w:lvlJc w:val="left"/>
      <w:pPr>
        <w:ind w:left="720" w:hanging="360"/>
      </w:pPr>
      <w:rPr>
        <w:rFonts w:ascii="Times New Roman" w:eastAsia="Times New Roman" w:hAnsi="Times New Roman" w:cs="Times New Roman" w:hint="default"/>
      </w:rPr>
    </w:lvl>
    <w:lvl w:ilvl="1" w:tplc="5532C4FE" w:tentative="1">
      <w:start w:val="1"/>
      <w:numFmt w:val="bullet"/>
      <w:lvlText w:val="o"/>
      <w:lvlJc w:val="left"/>
      <w:pPr>
        <w:ind w:left="1440" w:hanging="360"/>
      </w:pPr>
      <w:rPr>
        <w:rFonts w:ascii="Courier New" w:hAnsi="Courier New" w:cs="Courier New" w:hint="default"/>
      </w:rPr>
    </w:lvl>
    <w:lvl w:ilvl="2" w:tplc="FE92D2CA" w:tentative="1">
      <w:start w:val="1"/>
      <w:numFmt w:val="bullet"/>
      <w:lvlText w:val=""/>
      <w:lvlJc w:val="left"/>
      <w:pPr>
        <w:ind w:left="2160" w:hanging="360"/>
      </w:pPr>
      <w:rPr>
        <w:rFonts w:ascii="Wingdings" w:hAnsi="Wingdings" w:hint="default"/>
      </w:rPr>
    </w:lvl>
    <w:lvl w:ilvl="3" w:tplc="1414B92A" w:tentative="1">
      <w:start w:val="1"/>
      <w:numFmt w:val="bullet"/>
      <w:lvlText w:val=""/>
      <w:lvlJc w:val="left"/>
      <w:pPr>
        <w:ind w:left="2880" w:hanging="360"/>
      </w:pPr>
      <w:rPr>
        <w:rFonts w:ascii="Symbol" w:hAnsi="Symbol" w:hint="default"/>
      </w:rPr>
    </w:lvl>
    <w:lvl w:ilvl="4" w:tplc="FC889152" w:tentative="1">
      <w:start w:val="1"/>
      <w:numFmt w:val="bullet"/>
      <w:lvlText w:val="o"/>
      <w:lvlJc w:val="left"/>
      <w:pPr>
        <w:ind w:left="3600" w:hanging="360"/>
      </w:pPr>
      <w:rPr>
        <w:rFonts w:ascii="Courier New" w:hAnsi="Courier New" w:cs="Courier New" w:hint="default"/>
      </w:rPr>
    </w:lvl>
    <w:lvl w:ilvl="5" w:tplc="8CFAFAF8" w:tentative="1">
      <w:start w:val="1"/>
      <w:numFmt w:val="bullet"/>
      <w:lvlText w:val=""/>
      <w:lvlJc w:val="left"/>
      <w:pPr>
        <w:ind w:left="4320" w:hanging="360"/>
      </w:pPr>
      <w:rPr>
        <w:rFonts w:ascii="Wingdings" w:hAnsi="Wingdings" w:hint="default"/>
      </w:rPr>
    </w:lvl>
    <w:lvl w:ilvl="6" w:tplc="A7A275EC" w:tentative="1">
      <w:start w:val="1"/>
      <w:numFmt w:val="bullet"/>
      <w:lvlText w:val=""/>
      <w:lvlJc w:val="left"/>
      <w:pPr>
        <w:ind w:left="5040" w:hanging="360"/>
      </w:pPr>
      <w:rPr>
        <w:rFonts w:ascii="Symbol" w:hAnsi="Symbol" w:hint="default"/>
      </w:rPr>
    </w:lvl>
    <w:lvl w:ilvl="7" w:tplc="5D867714" w:tentative="1">
      <w:start w:val="1"/>
      <w:numFmt w:val="bullet"/>
      <w:lvlText w:val="o"/>
      <w:lvlJc w:val="left"/>
      <w:pPr>
        <w:ind w:left="5760" w:hanging="360"/>
      </w:pPr>
      <w:rPr>
        <w:rFonts w:ascii="Courier New" w:hAnsi="Courier New" w:cs="Courier New" w:hint="default"/>
      </w:rPr>
    </w:lvl>
    <w:lvl w:ilvl="8" w:tplc="C444DA16" w:tentative="1">
      <w:start w:val="1"/>
      <w:numFmt w:val="bullet"/>
      <w:lvlText w:val=""/>
      <w:lvlJc w:val="left"/>
      <w:pPr>
        <w:ind w:left="6480" w:hanging="360"/>
      </w:pPr>
      <w:rPr>
        <w:rFonts w:ascii="Wingdings" w:hAnsi="Wingdings" w:hint="default"/>
      </w:rPr>
    </w:lvl>
  </w:abstractNum>
  <w:abstractNum w:abstractNumId="2" w15:restartNumberingAfterBreak="0">
    <w:nsid w:val="0624381D"/>
    <w:multiLevelType w:val="hybridMultilevel"/>
    <w:tmpl w:val="E7622A08"/>
    <w:lvl w:ilvl="0" w:tplc="DC0AEC8C">
      <w:start w:val="1"/>
      <w:numFmt w:val="decimal"/>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D074E4">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F89B28">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063382">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000530">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86262C">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C888B4">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1AC628">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4EB596">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5B70C4"/>
    <w:multiLevelType w:val="hybridMultilevel"/>
    <w:tmpl w:val="CC3EE246"/>
    <w:lvl w:ilvl="0" w:tplc="BA8AC0BE">
      <w:numFmt w:val="bullet"/>
      <w:lvlText w:val="–"/>
      <w:lvlJc w:val="left"/>
      <w:pPr>
        <w:ind w:left="720" w:hanging="360"/>
      </w:pPr>
      <w:rPr>
        <w:rFonts w:ascii="Times New Roman" w:eastAsia="Times New Roman" w:hAnsi="Times New Roman" w:cs="Times New Roman" w:hint="default"/>
      </w:rPr>
    </w:lvl>
    <w:lvl w:ilvl="1" w:tplc="EE84E1BC" w:tentative="1">
      <w:start w:val="1"/>
      <w:numFmt w:val="bullet"/>
      <w:lvlText w:val="o"/>
      <w:lvlJc w:val="left"/>
      <w:pPr>
        <w:ind w:left="1440" w:hanging="360"/>
      </w:pPr>
      <w:rPr>
        <w:rFonts w:ascii="Courier New" w:hAnsi="Courier New" w:cs="Courier New" w:hint="default"/>
      </w:rPr>
    </w:lvl>
    <w:lvl w:ilvl="2" w:tplc="7AC2C582" w:tentative="1">
      <w:start w:val="1"/>
      <w:numFmt w:val="bullet"/>
      <w:lvlText w:val=""/>
      <w:lvlJc w:val="left"/>
      <w:pPr>
        <w:ind w:left="2160" w:hanging="360"/>
      </w:pPr>
      <w:rPr>
        <w:rFonts w:ascii="Wingdings" w:hAnsi="Wingdings" w:hint="default"/>
      </w:rPr>
    </w:lvl>
    <w:lvl w:ilvl="3" w:tplc="BDB2C4CA" w:tentative="1">
      <w:start w:val="1"/>
      <w:numFmt w:val="bullet"/>
      <w:lvlText w:val=""/>
      <w:lvlJc w:val="left"/>
      <w:pPr>
        <w:ind w:left="2880" w:hanging="360"/>
      </w:pPr>
      <w:rPr>
        <w:rFonts w:ascii="Symbol" w:hAnsi="Symbol" w:hint="default"/>
      </w:rPr>
    </w:lvl>
    <w:lvl w:ilvl="4" w:tplc="FD30DC8A" w:tentative="1">
      <w:start w:val="1"/>
      <w:numFmt w:val="bullet"/>
      <w:lvlText w:val="o"/>
      <w:lvlJc w:val="left"/>
      <w:pPr>
        <w:ind w:left="3600" w:hanging="360"/>
      </w:pPr>
      <w:rPr>
        <w:rFonts w:ascii="Courier New" w:hAnsi="Courier New" w:cs="Courier New" w:hint="default"/>
      </w:rPr>
    </w:lvl>
    <w:lvl w:ilvl="5" w:tplc="36F6C20C" w:tentative="1">
      <w:start w:val="1"/>
      <w:numFmt w:val="bullet"/>
      <w:lvlText w:val=""/>
      <w:lvlJc w:val="left"/>
      <w:pPr>
        <w:ind w:left="4320" w:hanging="360"/>
      </w:pPr>
      <w:rPr>
        <w:rFonts w:ascii="Wingdings" w:hAnsi="Wingdings" w:hint="default"/>
      </w:rPr>
    </w:lvl>
    <w:lvl w:ilvl="6" w:tplc="E626E316" w:tentative="1">
      <w:start w:val="1"/>
      <w:numFmt w:val="bullet"/>
      <w:lvlText w:val=""/>
      <w:lvlJc w:val="left"/>
      <w:pPr>
        <w:ind w:left="5040" w:hanging="360"/>
      </w:pPr>
      <w:rPr>
        <w:rFonts w:ascii="Symbol" w:hAnsi="Symbol" w:hint="default"/>
      </w:rPr>
    </w:lvl>
    <w:lvl w:ilvl="7" w:tplc="5A4CA350" w:tentative="1">
      <w:start w:val="1"/>
      <w:numFmt w:val="bullet"/>
      <w:lvlText w:val="o"/>
      <w:lvlJc w:val="left"/>
      <w:pPr>
        <w:ind w:left="5760" w:hanging="360"/>
      </w:pPr>
      <w:rPr>
        <w:rFonts w:ascii="Courier New" w:hAnsi="Courier New" w:cs="Courier New" w:hint="default"/>
      </w:rPr>
    </w:lvl>
    <w:lvl w:ilvl="8" w:tplc="A8345FD0" w:tentative="1">
      <w:start w:val="1"/>
      <w:numFmt w:val="bullet"/>
      <w:lvlText w:val=""/>
      <w:lvlJc w:val="left"/>
      <w:pPr>
        <w:ind w:left="6480" w:hanging="360"/>
      </w:pPr>
      <w:rPr>
        <w:rFonts w:ascii="Wingdings" w:hAnsi="Wingdings" w:hint="default"/>
      </w:rPr>
    </w:lvl>
  </w:abstractNum>
  <w:abstractNum w:abstractNumId="4" w15:restartNumberingAfterBreak="0">
    <w:nsid w:val="0AA507BE"/>
    <w:multiLevelType w:val="hybridMultilevel"/>
    <w:tmpl w:val="43FEBD16"/>
    <w:lvl w:ilvl="0" w:tplc="3D4E5012">
      <w:numFmt w:val="bullet"/>
      <w:lvlText w:val=""/>
      <w:lvlJc w:val="left"/>
      <w:pPr>
        <w:ind w:left="420" w:hanging="360"/>
      </w:pPr>
      <w:rPr>
        <w:rFonts w:ascii="Symbol" w:eastAsia="Times New Roman" w:hAnsi="Symbol" w:cs="Times New Roman" w:hint="default"/>
      </w:rPr>
    </w:lvl>
    <w:lvl w:ilvl="1" w:tplc="1A021794" w:tentative="1">
      <w:start w:val="1"/>
      <w:numFmt w:val="bullet"/>
      <w:lvlText w:val="o"/>
      <w:lvlJc w:val="left"/>
      <w:pPr>
        <w:tabs>
          <w:tab w:val="num" w:pos="1440"/>
        </w:tabs>
        <w:ind w:left="1440" w:hanging="360"/>
      </w:pPr>
      <w:rPr>
        <w:rFonts w:ascii="Courier New" w:hAnsi="Courier New" w:cs="Courier New" w:hint="default"/>
      </w:rPr>
    </w:lvl>
    <w:lvl w:ilvl="2" w:tplc="E3B2AADC" w:tentative="1">
      <w:start w:val="1"/>
      <w:numFmt w:val="bullet"/>
      <w:lvlText w:val=""/>
      <w:lvlJc w:val="left"/>
      <w:pPr>
        <w:tabs>
          <w:tab w:val="num" w:pos="2160"/>
        </w:tabs>
        <w:ind w:left="2160" w:hanging="360"/>
      </w:pPr>
      <w:rPr>
        <w:rFonts w:ascii="Wingdings" w:hAnsi="Wingdings" w:hint="default"/>
      </w:rPr>
    </w:lvl>
    <w:lvl w:ilvl="3" w:tplc="6896DDD2" w:tentative="1">
      <w:start w:val="1"/>
      <w:numFmt w:val="bullet"/>
      <w:lvlText w:val=""/>
      <w:lvlJc w:val="left"/>
      <w:pPr>
        <w:tabs>
          <w:tab w:val="num" w:pos="2880"/>
        </w:tabs>
        <w:ind w:left="2880" w:hanging="360"/>
      </w:pPr>
      <w:rPr>
        <w:rFonts w:ascii="Symbol" w:hAnsi="Symbol" w:hint="default"/>
      </w:rPr>
    </w:lvl>
    <w:lvl w:ilvl="4" w:tplc="6C7404D0" w:tentative="1">
      <w:start w:val="1"/>
      <w:numFmt w:val="bullet"/>
      <w:lvlText w:val="o"/>
      <w:lvlJc w:val="left"/>
      <w:pPr>
        <w:tabs>
          <w:tab w:val="num" w:pos="3600"/>
        </w:tabs>
        <w:ind w:left="3600" w:hanging="360"/>
      </w:pPr>
      <w:rPr>
        <w:rFonts w:ascii="Courier New" w:hAnsi="Courier New" w:cs="Courier New" w:hint="default"/>
      </w:rPr>
    </w:lvl>
    <w:lvl w:ilvl="5" w:tplc="0BE00A04" w:tentative="1">
      <w:start w:val="1"/>
      <w:numFmt w:val="bullet"/>
      <w:lvlText w:val=""/>
      <w:lvlJc w:val="left"/>
      <w:pPr>
        <w:tabs>
          <w:tab w:val="num" w:pos="4320"/>
        </w:tabs>
        <w:ind w:left="4320" w:hanging="360"/>
      </w:pPr>
      <w:rPr>
        <w:rFonts w:ascii="Wingdings" w:hAnsi="Wingdings" w:hint="default"/>
      </w:rPr>
    </w:lvl>
    <w:lvl w:ilvl="6" w:tplc="C11AA688" w:tentative="1">
      <w:start w:val="1"/>
      <w:numFmt w:val="bullet"/>
      <w:lvlText w:val=""/>
      <w:lvlJc w:val="left"/>
      <w:pPr>
        <w:tabs>
          <w:tab w:val="num" w:pos="5040"/>
        </w:tabs>
        <w:ind w:left="5040" w:hanging="360"/>
      </w:pPr>
      <w:rPr>
        <w:rFonts w:ascii="Symbol" w:hAnsi="Symbol" w:hint="default"/>
      </w:rPr>
    </w:lvl>
    <w:lvl w:ilvl="7" w:tplc="1AD2714C" w:tentative="1">
      <w:start w:val="1"/>
      <w:numFmt w:val="bullet"/>
      <w:lvlText w:val="o"/>
      <w:lvlJc w:val="left"/>
      <w:pPr>
        <w:tabs>
          <w:tab w:val="num" w:pos="5760"/>
        </w:tabs>
        <w:ind w:left="5760" w:hanging="360"/>
      </w:pPr>
      <w:rPr>
        <w:rFonts w:ascii="Courier New" w:hAnsi="Courier New" w:cs="Courier New" w:hint="default"/>
      </w:rPr>
    </w:lvl>
    <w:lvl w:ilvl="8" w:tplc="CB342A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C4C76"/>
    <w:multiLevelType w:val="hybridMultilevel"/>
    <w:tmpl w:val="FB324F54"/>
    <w:lvl w:ilvl="0" w:tplc="EBFE025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1A328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6A6D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F0C9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8604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66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3AD6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8C1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7EE1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876D1D"/>
    <w:multiLevelType w:val="hybridMultilevel"/>
    <w:tmpl w:val="63309D12"/>
    <w:lvl w:ilvl="0" w:tplc="7C5430EA">
      <w:numFmt w:val="bullet"/>
      <w:lvlText w:val=""/>
      <w:lvlJc w:val="left"/>
      <w:pPr>
        <w:ind w:left="420" w:hanging="360"/>
      </w:pPr>
      <w:rPr>
        <w:rFonts w:ascii="Symbol" w:eastAsia="Times New Roman" w:hAnsi="Symbol" w:cs="Times New Roman" w:hint="default"/>
      </w:rPr>
    </w:lvl>
    <w:lvl w:ilvl="1" w:tplc="D8826F52" w:tentative="1">
      <w:start w:val="1"/>
      <w:numFmt w:val="bullet"/>
      <w:lvlText w:val="o"/>
      <w:lvlJc w:val="left"/>
      <w:pPr>
        <w:tabs>
          <w:tab w:val="num" w:pos="1440"/>
        </w:tabs>
        <w:ind w:left="1440" w:hanging="360"/>
      </w:pPr>
      <w:rPr>
        <w:rFonts w:ascii="Courier New" w:hAnsi="Courier New" w:cs="Courier New" w:hint="default"/>
      </w:rPr>
    </w:lvl>
    <w:lvl w:ilvl="2" w:tplc="3556B6E6" w:tentative="1">
      <w:start w:val="1"/>
      <w:numFmt w:val="bullet"/>
      <w:lvlText w:val=""/>
      <w:lvlJc w:val="left"/>
      <w:pPr>
        <w:tabs>
          <w:tab w:val="num" w:pos="2160"/>
        </w:tabs>
        <w:ind w:left="2160" w:hanging="360"/>
      </w:pPr>
      <w:rPr>
        <w:rFonts w:ascii="Wingdings" w:hAnsi="Wingdings" w:hint="default"/>
      </w:rPr>
    </w:lvl>
    <w:lvl w:ilvl="3" w:tplc="064025CA" w:tentative="1">
      <w:start w:val="1"/>
      <w:numFmt w:val="bullet"/>
      <w:lvlText w:val=""/>
      <w:lvlJc w:val="left"/>
      <w:pPr>
        <w:tabs>
          <w:tab w:val="num" w:pos="2880"/>
        </w:tabs>
        <w:ind w:left="2880" w:hanging="360"/>
      </w:pPr>
      <w:rPr>
        <w:rFonts w:ascii="Symbol" w:hAnsi="Symbol" w:hint="default"/>
      </w:rPr>
    </w:lvl>
    <w:lvl w:ilvl="4" w:tplc="34DAD8BA" w:tentative="1">
      <w:start w:val="1"/>
      <w:numFmt w:val="bullet"/>
      <w:lvlText w:val="o"/>
      <w:lvlJc w:val="left"/>
      <w:pPr>
        <w:tabs>
          <w:tab w:val="num" w:pos="3600"/>
        </w:tabs>
        <w:ind w:left="3600" w:hanging="360"/>
      </w:pPr>
      <w:rPr>
        <w:rFonts w:ascii="Courier New" w:hAnsi="Courier New" w:cs="Courier New" w:hint="default"/>
      </w:rPr>
    </w:lvl>
    <w:lvl w:ilvl="5" w:tplc="F6D63B30" w:tentative="1">
      <w:start w:val="1"/>
      <w:numFmt w:val="bullet"/>
      <w:lvlText w:val=""/>
      <w:lvlJc w:val="left"/>
      <w:pPr>
        <w:tabs>
          <w:tab w:val="num" w:pos="4320"/>
        </w:tabs>
        <w:ind w:left="4320" w:hanging="360"/>
      </w:pPr>
      <w:rPr>
        <w:rFonts w:ascii="Wingdings" w:hAnsi="Wingdings" w:hint="default"/>
      </w:rPr>
    </w:lvl>
    <w:lvl w:ilvl="6" w:tplc="FD4CFE94" w:tentative="1">
      <w:start w:val="1"/>
      <w:numFmt w:val="bullet"/>
      <w:lvlText w:val=""/>
      <w:lvlJc w:val="left"/>
      <w:pPr>
        <w:tabs>
          <w:tab w:val="num" w:pos="5040"/>
        </w:tabs>
        <w:ind w:left="5040" w:hanging="360"/>
      </w:pPr>
      <w:rPr>
        <w:rFonts w:ascii="Symbol" w:hAnsi="Symbol" w:hint="default"/>
      </w:rPr>
    </w:lvl>
    <w:lvl w:ilvl="7" w:tplc="297E0D1E" w:tentative="1">
      <w:start w:val="1"/>
      <w:numFmt w:val="bullet"/>
      <w:lvlText w:val="o"/>
      <w:lvlJc w:val="left"/>
      <w:pPr>
        <w:tabs>
          <w:tab w:val="num" w:pos="5760"/>
        </w:tabs>
        <w:ind w:left="5760" w:hanging="360"/>
      </w:pPr>
      <w:rPr>
        <w:rFonts w:ascii="Courier New" w:hAnsi="Courier New" w:cs="Courier New" w:hint="default"/>
      </w:rPr>
    </w:lvl>
    <w:lvl w:ilvl="8" w:tplc="8BC802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A25B9"/>
    <w:multiLevelType w:val="hybridMultilevel"/>
    <w:tmpl w:val="A3E62FA8"/>
    <w:lvl w:ilvl="0" w:tplc="92820C7C">
      <w:start w:val="1"/>
      <w:numFmt w:val="bullet"/>
      <w:lvlText w:val=""/>
      <w:lvlJc w:val="left"/>
      <w:pPr>
        <w:ind w:left="720" w:hanging="360"/>
      </w:pPr>
      <w:rPr>
        <w:rFonts w:ascii="Symbol" w:hAnsi="Symbol" w:hint="default"/>
      </w:rPr>
    </w:lvl>
    <w:lvl w:ilvl="1" w:tplc="511E7A8E">
      <w:start w:val="1"/>
      <w:numFmt w:val="bullet"/>
      <w:lvlText w:val="o"/>
      <w:lvlJc w:val="left"/>
      <w:pPr>
        <w:ind w:left="1440" w:hanging="360"/>
      </w:pPr>
      <w:rPr>
        <w:rFonts w:ascii="Courier New" w:hAnsi="Courier New" w:cs="Courier New" w:hint="default"/>
      </w:rPr>
    </w:lvl>
    <w:lvl w:ilvl="2" w:tplc="0EE4BCAC" w:tentative="1">
      <w:start w:val="1"/>
      <w:numFmt w:val="bullet"/>
      <w:lvlText w:val=""/>
      <w:lvlJc w:val="left"/>
      <w:pPr>
        <w:ind w:left="2160" w:hanging="360"/>
      </w:pPr>
      <w:rPr>
        <w:rFonts w:ascii="Wingdings" w:hAnsi="Wingdings" w:hint="default"/>
      </w:rPr>
    </w:lvl>
    <w:lvl w:ilvl="3" w:tplc="817E4166" w:tentative="1">
      <w:start w:val="1"/>
      <w:numFmt w:val="bullet"/>
      <w:lvlText w:val=""/>
      <w:lvlJc w:val="left"/>
      <w:pPr>
        <w:ind w:left="2880" w:hanging="360"/>
      </w:pPr>
      <w:rPr>
        <w:rFonts w:ascii="Symbol" w:hAnsi="Symbol" w:hint="default"/>
      </w:rPr>
    </w:lvl>
    <w:lvl w:ilvl="4" w:tplc="41DC18EE" w:tentative="1">
      <w:start w:val="1"/>
      <w:numFmt w:val="bullet"/>
      <w:lvlText w:val="o"/>
      <w:lvlJc w:val="left"/>
      <w:pPr>
        <w:ind w:left="3600" w:hanging="360"/>
      </w:pPr>
      <w:rPr>
        <w:rFonts w:ascii="Courier New" w:hAnsi="Courier New" w:cs="Courier New" w:hint="default"/>
      </w:rPr>
    </w:lvl>
    <w:lvl w:ilvl="5" w:tplc="CECA95F6" w:tentative="1">
      <w:start w:val="1"/>
      <w:numFmt w:val="bullet"/>
      <w:lvlText w:val=""/>
      <w:lvlJc w:val="left"/>
      <w:pPr>
        <w:ind w:left="4320" w:hanging="360"/>
      </w:pPr>
      <w:rPr>
        <w:rFonts w:ascii="Wingdings" w:hAnsi="Wingdings" w:hint="default"/>
      </w:rPr>
    </w:lvl>
    <w:lvl w:ilvl="6" w:tplc="8FAC42FE" w:tentative="1">
      <w:start w:val="1"/>
      <w:numFmt w:val="bullet"/>
      <w:lvlText w:val=""/>
      <w:lvlJc w:val="left"/>
      <w:pPr>
        <w:ind w:left="5040" w:hanging="360"/>
      </w:pPr>
      <w:rPr>
        <w:rFonts w:ascii="Symbol" w:hAnsi="Symbol" w:hint="default"/>
      </w:rPr>
    </w:lvl>
    <w:lvl w:ilvl="7" w:tplc="64382492" w:tentative="1">
      <w:start w:val="1"/>
      <w:numFmt w:val="bullet"/>
      <w:lvlText w:val="o"/>
      <w:lvlJc w:val="left"/>
      <w:pPr>
        <w:ind w:left="5760" w:hanging="360"/>
      </w:pPr>
      <w:rPr>
        <w:rFonts w:ascii="Courier New" w:hAnsi="Courier New" w:cs="Courier New" w:hint="default"/>
      </w:rPr>
    </w:lvl>
    <w:lvl w:ilvl="8" w:tplc="4086C902" w:tentative="1">
      <w:start w:val="1"/>
      <w:numFmt w:val="bullet"/>
      <w:lvlText w:val=""/>
      <w:lvlJc w:val="left"/>
      <w:pPr>
        <w:ind w:left="6480" w:hanging="360"/>
      </w:pPr>
      <w:rPr>
        <w:rFonts w:ascii="Wingdings" w:hAnsi="Wingdings" w:hint="default"/>
      </w:rPr>
    </w:lvl>
  </w:abstractNum>
  <w:abstractNum w:abstractNumId="8" w15:restartNumberingAfterBreak="0">
    <w:nsid w:val="1E555E55"/>
    <w:multiLevelType w:val="hybridMultilevel"/>
    <w:tmpl w:val="72E41BCA"/>
    <w:lvl w:ilvl="0" w:tplc="E6C6B92E">
      <w:numFmt w:val="bullet"/>
      <w:lvlText w:val=""/>
      <w:lvlJc w:val="left"/>
      <w:pPr>
        <w:ind w:left="420" w:hanging="360"/>
      </w:pPr>
      <w:rPr>
        <w:rFonts w:ascii="Symbol" w:eastAsia="Times New Roman" w:hAnsi="Symbol" w:cs="Times New Roman" w:hint="default"/>
      </w:rPr>
    </w:lvl>
    <w:lvl w:ilvl="1" w:tplc="9C5AAD3C" w:tentative="1">
      <w:start w:val="1"/>
      <w:numFmt w:val="bullet"/>
      <w:lvlText w:val="o"/>
      <w:lvlJc w:val="left"/>
      <w:pPr>
        <w:tabs>
          <w:tab w:val="num" w:pos="1440"/>
        </w:tabs>
        <w:ind w:left="1440" w:hanging="360"/>
      </w:pPr>
      <w:rPr>
        <w:rFonts w:ascii="Courier New" w:hAnsi="Courier New" w:cs="Courier New" w:hint="default"/>
      </w:rPr>
    </w:lvl>
    <w:lvl w:ilvl="2" w:tplc="4824E2CC" w:tentative="1">
      <w:start w:val="1"/>
      <w:numFmt w:val="bullet"/>
      <w:lvlText w:val=""/>
      <w:lvlJc w:val="left"/>
      <w:pPr>
        <w:tabs>
          <w:tab w:val="num" w:pos="2160"/>
        </w:tabs>
        <w:ind w:left="2160" w:hanging="360"/>
      </w:pPr>
      <w:rPr>
        <w:rFonts w:ascii="Wingdings" w:hAnsi="Wingdings" w:hint="default"/>
      </w:rPr>
    </w:lvl>
    <w:lvl w:ilvl="3" w:tplc="297CEC18" w:tentative="1">
      <w:start w:val="1"/>
      <w:numFmt w:val="bullet"/>
      <w:lvlText w:val=""/>
      <w:lvlJc w:val="left"/>
      <w:pPr>
        <w:tabs>
          <w:tab w:val="num" w:pos="2880"/>
        </w:tabs>
        <w:ind w:left="2880" w:hanging="360"/>
      </w:pPr>
      <w:rPr>
        <w:rFonts w:ascii="Symbol" w:hAnsi="Symbol" w:hint="default"/>
      </w:rPr>
    </w:lvl>
    <w:lvl w:ilvl="4" w:tplc="D83E8368" w:tentative="1">
      <w:start w:val="1"/>
      <w:numFmt w:val="bullet"/>
      <w:lvlText w:val="o"/>
      <w:lvlJc w:val="left"/>
      <w:pPr>
        <w:tabs>
          <w:tab w:val="num" w:pos="3600"/>
        </w:tabs>
        <w:ind w:left="3600" w:hanging="360"/>
      </w:pPr>
      <w:rPr>
        <w:rFonts w:ascii="Courier New" w:hAnsi="Courier New" w:cs="Courier New" w:hint="default"/>
      </w:rPr>
    </w:lvl>
    <w:lvl w:ilvl="5" w:tplc="AFD05886" w:tentative="1">
      <w:start w:val="1"/>
      <w:numFmt w:val="bullet"/>
      <w:lvlText w:val=""/>
      <w:lvlJc w:val="left"/>
      <w:pPr>
        <w:tabs>
          <w:tab w:val="num" w:pos="4320"/>
        </w:tabs>
        <w:ind w:left="4320" w:hanging="360"/>
      </w:pPr>
      <w:rPr>
        <w:rFonts w:ascii="Wingdings" w:hAnsi="Wingdings" w:hint="default"/>
      </w:rPr>
    </w:lvl>
    <w:lvl w:ilvl="6" w:tplc="8EC4935A" w:tentative="1">
      <w:start w:val="1"/>
      <w:numFmt w:val="bullet"/>
      <w:lvlText w:val=""/>
      <w:lvlJc w:val="left"/>
      <w:pPr>
        <w:tabs>
          <w:tab w:val="num" w:pos="5040"/>
        </w:tabs>
        <w:ind w:left="5040" w:hanging="360"/>
      </w:pPr>
      <w:rPr>
        <w:rFonts w:ascii="Symbol" w:hAnsi="Symbol" w:hint="default"/>
      </w:rPr>
    </w:lvl>
    <w:lvl w:ilvl="7" w:tplc="8C3C64E2" w:tentative="1">
      <w:start w:val="1"/>
      <w:numFmt w:val="bullet"/>
      <w:lvlText w:val="o"/>
      <w:lvlJc w:val="left"/>
      <w:pPr>
        <w:tabs>
          <w:tab w:val="num" w:pos="5760"/>
        </w:tabs>
        <w:ind w:left="5760" w:hanging="360"/>
      </w:pPr>
      <w:rPr>
        <w:rFonts w:ascii="Courier New" w:hAnsi="Courier New" w:cs="Courier New" w:hint="default"/>
      </w:rPr>
    </w:lvl>
    <w:lvl w:ilvl="8" w:tplc="CD96A2C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95314"/>
    <w:multiLevelType w:val="hybridMultilevel"/>
    <w:tmpl w:val="F3884292"/>
    <w:lvl w:ilvl="0" w:tplc="9C68C150">
      <w:numFmt w:val="bullet"/>
      <w:lvlText w:val="–"/>
      <w:lvlJc w:val="left"/>
      <w:pPr>
        <w:ind w:left="720" w:hanging="360"/>
      </w:pPr>
      <w:rPr>
        <w:rFonts w:ascii="Times New Roman" w:eastAsia="Times New Roman" w:hAnsi="Times New Roman" w:cs="Times New Roman" w:hint="default"/>
      </w:rPr>
    </w:lvl>
    <w:lvl w:ilvl="1" w:tplc="AA30696C" w:tentative="1">
      <w:start w:val="1"/>
      <w:numFmt w:val="bullet"/>
      <w:lvlText w:val="o"/>
      <w:lvlJc w:val="left"/>
      <w:pPr>
        <w:ind w:left="1440" w:hanging="360"/>
      </w:pPr>
      <w:rPr>
        <w:rFonts w:ascii="Courier New" w:hAnsi="Courier New" w:cs="Courier New" w:hint="default"/>
      </w:rPr>
    </w:lvl>
    <w:lvl w:ilvl="2" w:tplc="B3204A70" w:tentative="1">
      <w:start w:val="1"/>
      <w:numFmt w:val="bullet"/>
      <w:lvlText w:val=""/>
      <w:lvlJc w:val="left"/>
      <w:pPr>
        <w:ind w:left="2160" w:hanging="360"/>
      </w:pPr>
      <w:rPr>
        <w:rFonts w:ascii="Wingdings" w:hAnsi="Wingdings" w:hint="default"/>
      </w:rPr>
    </w:lvl>
    <w:lvl w:ilvl="3" w:tplc="0450E7C2" w:tentative="1">
      <w:start w:val="1"/>
      <w:numFmt w:val="bullet"/>
      <w:lvlText w:val=""/>
      <w:lvlJc w:val="left"/>
      <w:pPr>
        <w:ind w:left="2880" w:hanging="360"/>
      </w:pPr>
      <w:rPr>
        <w:rFonts w:ascii="Symbol" w:hAnsi="Symbol" w:hint="default"/>
      </w:rPr>
    </w:lvl>
    <w:lvl w:ilvl="4" w:tplc="AB2C618E" w:tentative="1">
      <w:start w:val="1"/>
      <w:numFmt w:val="bullet"/>
      <w:lvlText w:val="o"/>
      <w:lvlJc w:val="left"/>
      <w:pPr>
        <w:ind w:left="3600" w:hanging="360"/>
      </w:pPr>
      <w:rPr>
        <w:rFonts w:ascii="Courier New" w:hAnsi="Courier New" w:cs="Courier New" w:hint="default"/>
      </w:rPr>
    </w:lvl>
    <w:lvl w:ilvl="5" w:tplc="F7C617D0" w:tentative="1">
      <w:start w:val="1"/>
      <w:numFmt w:val="bullet"/>
      <w:lvlText w:val=""/>
      <w:lvlJc w:val="left"/>
      <w:pPr>
        <w:ind w:left="4320" w:hanging="360"/>
      </w:pPr>
      <w:rPr>
        <w:rFonts w:ascii="Wingdings" w:hAnsi="Wingdings" w:hint="default"/>
      </w:rPr>
    </w:lvl>
    <w:lvl w:ilvl="6" w:tplc="DCC29FE0" w:tentative="1">
      <w:start w:val="1"/>
      <w:numFmt w:val="bullet"/>
      <w:lvlText w:val=""/>
      <w:lvlJc w:val="left"/>
      <w:pPr>
        <w:ind w:left="5040" w:hanging="360"/>
      </w:pPr>
      <w:rPr>
        <w:rFonts w:ascii="Symbol" w:hAnsi="Symbol" w:hint="default"/>
      </w:rPr>
    </w:lvl>
    <w:lvl w:ilvl="7" w:tplc="022EF946" w:tentative="1">
      <w:start w:val="1"/>
      <w:numFmt w:val="bullet"/>
      <w:lvlText w:val="o"/>
      <w:lvlJc w:val="left"/>
      <w:pPr>
        <w:ind w:left="5760" w:hanging="360"/>
      </w:pPr>
      <w:rPr>
        <w:rFonts w:ascii="Courier New" w:hAnsi="Courier New" w:cs="Courier New" w:hint="default"/>
      </w:rPr>
    </w:lvl>
    <w:lvl w:ilvl="8" w:tplc="A2B0AB16" w:tentative="1">
      <w:start w:val="1"/>
      <w:numFmt w:val="bullet"/>
      <w:lvlText w:val=""/>
      <w:lvlJc w:val="left"/>
      <w:pPr>
        <w:ind w:left="6480" w:hanging="360"/>
      </w:pPr>
      <w:rPr>
        <w:rFonts w:ascii="Wingdings" w:hAnsi="Wingdings" w:hint="default"/>
      </w:rPr>
    </w:lvl>
  </w:abstractNum>
  <w:abstractNum w:abstractNumId="10" w15:restartNumberingAfterBreak="0">
    <w:nsid w:val="2A1E72D8"/>
    <w:multiLevelType w:val="hybridMultilevel"/>
    <w:tmpl w:val="52B2D602"/>
    <w:lvl w:ilvl="0" w:tplc="98068216">
      <w:start w:val="1"/>
      <w:numFmt w:val="bullet"/>
      <w:lvlText w:val=""/>
      <w:lvlJc w:val="left"/>
      <w:pPr>
        <w:ind w:left="720" w:hanging="360"/>
      </w:pPr>
      <w:rPr>
        <w:rFonts w:ascii="Symbol" w:hAnsi="Symbol" w:hint="default"/>
      </w:rPr>
    </w:lvl>
    <w:lvl w:ilvl="1" w:tplc="EE62C2F4" w:tentative="1">
      <w:start w:val="1"/>
      <w:numFmt w:val="bullet"/>
      <w:lvlText w:val="o"/>
      <w:lvlJc w:val="left"/>
      <w:pPr>
        <w:ind w:left="1440" w:hanging="360"/>
      </w:pPr>
      <w:rPr>
        <w:rFonts w:ascii="Courier New" w:hAnsi="Courier New" w:cs="Courier New" w:hint="default"/>
      </w:rPr>
    </w:lvl>
    <w:lvl w:ilvl="2" w:tplc="B8483B9E" w:tentative="1">
      <w:start w:val="1"/>
      <w:numFmt w:val="bullet"/>
      <w:lvlText w:val=""/>
      <w:lvlJc w:val="left"/>
      <w:pPr>
        <w:ind w:left="2160" w:hanging="360"/>
      </w:pPr>
      <w:rPr>
        <w:rFonts w:ascii="Wingdings" w:hAnsi="Wingdings" w:hint="default"/>
      </w:rPr>
    </w:lvl>
    <w:lvl w:ilvl="3" w:tplc="9954CFC8" w:tentative="1">
      <w:start w:val="1"/>
      <w:numFmt w:val="bullet"/>
      <w:lvlText w:val=""/>
      <w:lvlJc w:val="left"/>
      <w:pPr>
        <w:ind w:left="2880" w:hanging="360"/>
      </w:pPr>
      <w:rPr>
        <w:rFonts w:ascii="Symbol" w:hAnsi="Symbol" w:hint="default"/>
      </w:rPr>
    </w:lvl>
    <w:lvl w:ilvl="4" w:tplc="AF525E4E" w:tentative="1">
      <w:start w:val="1"/>
      <w:numFmt w:val="bullet"/>
      <w:lvlText w:val="o"/>
      <w:lvlJc w:val="left"/>
      <w:pPr>
        <w:ind w:left="3600" w:hanging="360"/>
      </w:pPr>
      <w:rPr>
        <w:rFonts w:ascii="Courier New" w:hAnsi="Courier New" w:cs="Courier New" w:hint="default"/>
      </w:rPr>
    </w:lvl>
    <w:lvl w:ilvl="5" w:tplc="44D0372E" w:tentative="1">
      <w:start w:val="1"/>
      <w:numFmt w:val="bullet"/>
      <w:lvlText w:val=""/>
      <w:lvlJc w:val="left"/>
      <w:pPr>
        <w:ind w:left="4320" w:hanging="360"/>
      </w:pPr>
      <w:rPr>
        <w:rFonts w:ascii="Wingdings" w:hAnsi="Wingdings" w:hint="default"/>
      </w:rPr>
    </w:lvl>
    <w:lvl w:ilvl="6" w:tplc="2EE09C7A" w:tentative="1">
      <w:start w:val="1"/>
      <w:numFmt w:val="bullet"/>
      <w:lvlText w:val=""/>
      <w:lvlJc w:val="left"/>
      <w:pPr>
        <w:ind w:left="5040" w:hanging="360"/>
      </w:pPr>
      <w:rPr>
        <w:rFonts w:ascii="Symbol" w:hAnsi="Symbol" w:hint="default"/>
      </w:rPr>
    </w:lvl>
    <w:lvl w:ilvl="7" w:tplc="7130B950" w:tentative="1">
      <w:start w:val="1"/>
      <w:numFmt w:val="bullet"/>
      <w:lvlText w:val="o"/>
      <w:lvlJc w:val="left"/>
      <w:pPr>
        <w:ind w:left="5760" w:hanging="360"/>
      </w:pPr>
      <w:rPr>
        <w:rFonts w:ascii="Courier New" w:hAnsi="Courier New" w:cs="Courier New" w:hint="default"/>
      </w:rPr>
    </w:lvl>
    <w:lvl w:ilvl="8" w:tplc="A1B63340" w:tentative="1">
      <w:start w:val="1"/>
      <w:numFmt w:val="bullet"/>
      <w:lvlText w:val=""/>
      <w:lvlJc w:val="left"/>
      <w:pPr>
        <w:ind w:left="6480" w:hanging="360"/>
      </w:pPr>
      <w:rPr>
        <w:rFonts w:ascii="Wingdings" w:hAnsi="Wingdings" w:hint="default"/>
      </w:rPr>
    </w:lvl>
  </w:abstractNum>
  <w:abstractNum w:abstractNumId="11" w15:restartNumberingAfterBreak="0">
    <w:nsid w:val="2B145ABD"/>
    <w:multiLevelType w:val="hybridMultilevel"/>
    <w:tmpl w:val="9A88FD54"/>
    <w:lvl w:ilvl="0" w:tplc="3B14E1CE">
      <w:start w:val="1"/>
      <w:numFmt w:val="bullet"/>
      <w:lvlText w:val=""/>
      <w:lvlJc w:val="left"/>
      <w:pPr>
        <w:ind w:left="720" w:hanging="360"/>
      </w:pPr>
      <w:rPr>
        <w:rFonts w:ascii="Symbol" w:hAnsi="Symbol" w:hint="default"/>
      </w:rPr>
    </w:lvl>
    <w:lvl w:ilvl="1" w:tplc="25C69FB8" w:tentative="1">
      <w:start w:val="1"/>
      <w:numFmt w:val="bullet"/>
      <w:lvlText w:val="o"/>
      <w:lvlJc w:val="left"/>
      <w:pPr>
        <w:ind w:left="1440" w:hanging="360"/>
      </w:pPr>
      <w:rPr>
        <w:rFonts w:ascii="Courier New" w:hAnsi="Courier New" w:cs="Courier New" w:hint="default"/>
      </w:rPr>
    </w:lvl>
    <w:lvl w:ilvl="2" w:tplc="F4146B24" w:tentative="1">
      <w:start w:val="1"/>
      <w:numFmt w:val="bullet"/>
      <w:lvlText w:val=""/>
      <w:lvlJc w:val="left"/>
      <w:pPr>
        <w:ind w:left="2160" w:hanging="360"/>
      </w:pPr>
      <w:rPr>
        <w:rFonts w:ascii="Wingdings" w:hAnsi="Wingdings" w:hint="default"/>
      </w:rPr>
    </w:lvl>
    <w:lvl w:ilvl="3" w:tplc="D3B42368" w:tentative="1">
      <w:start w:val="1"/>
      <w:numFmt w:val="bullet"/>
      <w:lvlText w:val=""/>
      <w:lvlJc w:val="left"/>
      <w:pPr>
        <w:ind w:left="2880" w:hanging="360"/>
      </w:pPr>
      <w:rPr>
        <w:rFonts w:ascii="Symbol" w:hAnsi="Symbol" w:hint="default"/>
      </w:rPr>
    </w:lvl>
    <w:lvl w:ilvl="4" w:tplc="CBEE0C8E" w:tentative="1">
      <w:start w:val="1"/>
      <w:numFmt w:val="bullet"/>
      <w:lvlText w:val="o"/>
      <w:lvlJc w:val="left"/>
      <w:pPr>
        <w:ind w:left="3600" w:hanging="360"/>
      </w:pPr>
      <w:rPr>
        <w:rFonts w:ascii="Courier New" w:hAnsi="Courier New" w:cs="Courier New" w:hint="default"/>
      </w:rPr>
    </w:lvl>
    <w:lvl w:ilvl="5" w:tplc="E1B80818" w:tentative="1">
      <w:start w:val="1"/>
      <w:numFmt w:val="bullet"/>
      <w:lvlText w:val=""/>
      <w:lvlJc w:val="left"/>
      <w:pPr>
        <w:ind w:left="4320" w:hanging="360"/>
      </w:pPr>
      <w:rPr>
        <w:rFonts w:ascii="Wingdings" w:hAnsi="Wingdings" w:hint="default"/>
      </w:rPr>
    </w:lvl>
    <w:lvl w:ilvl="6" w:tplc="BF66508A" w:tentative="1">
      <w:start w:val="1"/>
      <w:numFmt w:val="bullet"/>
      <w:lvlText w:val=""/>
      <w:lvlJc w:val="left"/>
      <w:pPr>
        <w:ind w:left="5040" w:hanging="360"/>
      </w:pPr>
      <w:rPr>
        <w:rFonts w:ascii="Symbol" w:hAnsi="Symbol" w:hint="default"/>
      </w:rPr>
    </w:lvl>
    <w:lvl w:ilvl="7" w:tplc="1996DD5A" w:tentative="1">
      <w:start w:val="1"/>
      <w:numFmt w:val="bullet"/>
      <w:lvlText w:val="o"/>
      <w:lvlJc w:val="left"/>
      <w:pPr>
        <w:ind w:left="5760" w:hanging="360"/>
      </w:pPr>
      <w:rPr>
        <w:rFonts w:ascii="Courier New" w:hAnsi="Courier New" w:cs="Courier New" w:hint="default"/>
      </w:rPr>
    </w:lvl>
    <w:lvl w:ilvl="8" w:tplc="62F6CD54" w:tentative="1">
      <w:start w:val="1"/>
      <w:numFmt w:val="bullet"/>
      <w:lvlText w:val=""/>
      <w:lvlJc w:val="left"/>
      <w:pPr>
        <w:ind w:left="6480" w:hanging="360"/>
      </w:pPr>
      <w:rPr>
        <w:rFonts w:ascii="Wingdings" w:hAnsi="Wingdings" w:hint="default"/>
      </w:rPr>
    </w:lvl>
  </w:abstractNum>
  <w:abstractNum w:abstractNumId="12" w15:restartNumberingAfterBreak="0">
    <w:nsid w:val="2E1A4BB1"/>
    <w:multiLevelType w:val="hybridMultilevel"/>
    <w:tmpl w:val="12CED00E"/>
    <w:lvl w:ilvl="0" w:tplc="CD5A8F9E">
      <w:start w:val="1"/>
      <w:numFmt w:val="lowerLetter"/>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3835E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6C075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F0406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D0E8A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00607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5C9D7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1E5C5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421D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7369D2"/>
    <w:multiLevelType w:val="hybridMultilevel"/>
    <w:tmpl w:val="BBF437D6"/>
    <w:lvl w:ilvl="0" w:tplc="3AECE07A">
      <w:numFmt w:val="bullet"/>
      <w:lvlText w:val="–"/>
      <w:lvlJc w:val="left"/>
      <w:pPr>
        <w:ind w:left="720" w:hanging="360"/>
      </w:pPr>
      <w:rPr>
        <w:rFonts w:ascii="Times New Roman" w:eastAsia="Times New Roman" w:hAnsi="Times New Roman" w:cs="Times New Roman" w:hint="default"/>
      </w:rPr>
    </w:lvl>
    <w:lvl w:ilvl="1" w:tplc="487E689A" w:tentative="1">
      <w:start w:val="1"/>
      <w:numFmt w:val="bullet"/>
      <w:lvlText w:val="o"/>
      <w:lvlJc w:val="left"/>
      <w:pPr>
        <w:ind w:left="1440" w:hanging="360"/>
      </w:pPr>
      <w:rPr>
        <w:rFonts w:ascii="Courier New" w:hAnsi="Courier New" w:cs="Courier New" w:hint="default"/>
      </w:rPr>
    </w:lvl>
    <w:lvl w:ilvl="2" w:tplc="40BAB1A8" w:tentative="1">
      <w:start w:val="1"/>
      <w:numFmt w:val="bullet"/>
      <w:lvlText w:val=""/>
      <w:lvlJc w:val="left"/>
      <w:pPr>
        <w:ind w:left="2160" w:hanging="360"/>
      </w:pPr>
      <w:rPr>
        <w:rFonts w:ascii="Wingdings" w:hAnsi="Wingdings" w:hint="default"/>
      </w:rPr>
    </w:lvl>
    <w:lvl w:ilvl="3" w:tplc="2A9C24A0" w:tentative="1">
      <w:start w:val="1"/>
      <w:numFmt w:val="bullet"/>
      <w:lvlText w:val=""/>
      <w:lvlJc w:val="left"/>
      <w:pPr>
        <w:ind w:left="2880" w:hanging="360"/>
      </w:pPr>
      <w:rPr>
        <w:rFonts w:ascii="Symbol" w:hAnsi="Symbol" w:hint="default"/>
      </w:rPr>
    </w:lvl>
    <w:lvl w:ilvl="4" w:tplc="98D6BAFC" w:tentative="1">
      <w:start w:val="1"/>
      <w:numFmt w:val="bullet"/>
      <w:lvlText w:val="o"/>
      <w:lvlJc w:val="left"/>
      <w:pPr>
        <w:ind w:left="3600" w:hanging="360"/>
      </w:pPr>
      <w:rPr>
        <w:rFonts w:ascii="Courier New" w:hAnsi="Courier New" w:cs="Courier New" w:hint="default"/>
      </w:rPr>
    </w:lvl>
    <w:lvl w:ilvl="5" w:tplc="E230EB84" w:tentative="1">
      <w:start w:val="1"/>
      <w:numFmt w:val="bullet"/>
      <w:lvlText w:val=""/>
      <w:lvlJc w:val="left"/>
      <w:pPr>
        <w:ind w:left="4320" w:hanging="360"/>
      </w:pPr>
      <w:rPr>
        <w:rFonts w:ascii="Wingdings" w:hAnsi="Wingdings" w:hint="default"/>
      </w:rPr>
    </w:lvl>
    <w:lvl w:ilvl="6" w:tplc="D068B378" w:tentative="1">
      <w:start w:val="1"/>
      <w:numFmt w:val="bullet"/>
      <w:lvlText w:val=""/>
      <w:lvlJc w:val="left"/>
      <w:pPr>
        <w:ind w:left="5040" w:hanging="360"/>
      </w:pPr>
      <w:rPr>
        <w:rFonts w:ascii="Symbol" w:hAnsi="Symbol" w:hint="default"/>
      </w:rPr>
    </w:lvl>
    <w:lvl w:ilvl="7" w:tplc="8AEE4606" w:tentative="1">
      <w:start w:val="1"/>
      <w:numFmt w:val="bullet"/>
      <w:lvlText w:val="o"/>
      <w:lvlJc w:val="left"/>
      <w:pPr>
        <w:ind w:left="5760" w:hanging="360"/>
      </w:pPr>
      <w:rPr>
        <w:rFonts w:ascii="Courier New" w:hAnsi="Courier New" w:cs="Courier New" w:hint="default"/>
      </w:rPr>
    </w:lvl>
    <w:lvl w:ilvl="8" w:tplc="E200D036" w:tentative="1">
      <w:start w:val="1"/>
      <w:numFmt w:val="bullet"/>
      <w:lvlText w:val=""/>
      <w:lvlJc w:val="left"/>
      <w:pPr>
        <w:ind w:left="6480" w:hanging="360"/>
      </w:pPr>
      <w:rPr>
        <w:rFonts w:ascii="Wingdings" w:hAnsi="Wingdings" w:hint="default"/>
      </w:rPr>
    </w:lvl>
  </w:abstractNum>
  <w:abstractNum w:abstractNumId="14" w15:restartNumberingAfterBreak="0">
    <w:nsid w:val="385A1387"/>
    <w:multiLevelType w:val="hybridMultilevel"/>
    <w:tmpl w:val="8FF4F3BE"/>
    <w:lvl w:ilvl="0" w:tplc="1376F72A">
      <w:start w:val="2"/>
      <w:numFmt w:val="bullet"/>
      <w:lvlText w:val="–"/>
      <w:lvlJc w:val="left"/>
      <w:pPr>
        <w:ind w:left="720" w:hanging="360"/>
      </w:pPr>
      <w:rPr>
        <w:rFonts w:ascii="Times New Roman" w:eastAsia="Times New Roman" w:hAnsi="Times New Roman" w:cs="Times New Roman" w:hint="default"/>
      </w:rPr>
    </w:lvl>
    <w:lvl w:ilvl="1" w:tplc="94B45144" w:tentative="1">
      <w:start w:val="1"/>
      <w:numFmt w:val="bullet"/>
      <w:lvlText w:val="o"/>
      <w:lvlJc w:val="left"/>
      <w:pPr>
        <w:ind w:left="1440" w:hanging="360"/>
      </w:pPr>
      <w:rPr>
        <w:rFonts w:ascii="Courier New" w:hAnsi="Courier New" w:cs="Courier New" w:hint="default"/>
      </w:rPr>
    </w:lvl>
    <w:lvl w:ilvl="2" w:tplc="0966ED3A" w:tentative="1">
      <w:start w:val="1"/>
      <w:numFmt w:val="bullet"/>
      <w:lvlText w:val=""/>
      <w:lvlJc w:val="left"/>
      <w:pPr>
        <w:ind w:left="2160" w:hanging="360"/>
      </w:pPr>
      <w:rPr>
        <w:rFonts w:ascii="Wingdings" w:hAnsi="Wingdings" w:hint="default"/>
      </w:rPr>
    </w:lvl>
    <w:lvl w:ilvl="3" w:tplc="5EFEB322" w:tentative="1">
      <w:start w:val="1"/>
      <w:numFmt w:val="bullet"/>
      <w:lvlText w:val=""/>
      <w:lvlJc w:val="left"/>
      <w:pPr>
        <w:ind w:left="2880" w:hanging="360"/>
      </w:pPr>
      <w:rPr>
        <w:rFonts w:ascii="Symbol" w:hAnsi="Symbol" w:hint="default"/>
      </w:rPr>
    </w:lvl>
    <w:lvl w:ilvl="4" w:tplc="B4B07726" w:tentative="1">
      <w:start w:val="1"/>
      <w:numFmt w:val="bullet"/>
      <w:lvlText w:val="o"/>
      <w:lvlJc w:val="left"/>
      <w:pPr>
        <w:ind w:left="3600" w:hanging="360"/>
      </w:pPr>
      <w:rPr>
        <w:rFonts w:ascii="Courier New" w:hAnsi="Courier New" w:cs="Courier New" w:hint="default"/>
      </w:rPr>
    </w:lvl>
    <w:lvl w:ilvl="5" w:tplc="72BACAB6" w:tentative="1">
      <w:start w:val="1"/>
      <w:numFmt w:val="bullet"/>
      <w:lvlText w:val=""/>
      <w:lvlJc w:val="left"/>
      <w:pPr>
        <w:ind w:left="4320" w:hanging="360"/>
      </w:pPr>
      <w:rPr>
        <w:rFonts w:ascii="Wingdings" w:hAnsi="Wingdings" w:hint="default"/>
      </w:rPr>
    </w:lvl>
    <w:lvl w:ilvl="6" w:tplc="4260ED18" w:tentative="1">
      <w:start w:val="1"/>
      <w:numFmt w:val="bullet"/>
      <w:lvlText w:val=""/>
      <w:lvlJc w:val="left"/>
      <w:pPr>
        <w:ind w:left="5040" w:hanging="360"/>
      </w:pPr>
      <w:rPr>
        <w:rFonts w:ascii="Symbol" w:hAnsi="Symbol" w:hint="default"/>
      </w:rPr>
    </w:lvl>
    <w:lvl w:ilvl="7" w:tplc="30C087F2" w:tentative="1">
      <w:start w:val="1"/>
      <w:numFmt w:val="bullet"/>
      <w:lvlText w:val="o"/>
      <w:lvlJc w:val="left"/>
      <w:pPr>
        <w:ind w:left="5760" w:hanging="360"/>
      </w:pPr>
      <w:rPr>
        <w:rFonts w:ascii="Courier New" w:hAnsi="Courier New" w:cs="Courier New" w:hint="default"/>
      </w:rPr>
    </w:lvl>
    <w:lvl w:ilvl="8" w:tplc="E04430BE" w:tentative="1">
      <w:start w:val="1"/>
      <w:numFmt w:val="bullet"/>
      <w:lvlText w:val=""/>
      <w:lvlJc w:val="left"/>
      <w:pPr>
        <w:ind w:left="6480" w:hanging="360"/>
      </w:pPr>
      <w:rPr>
        <w:rFonts w:ascii="Wingdings" w:hAnsi="Wingdings" w:hint="default"/>
      </w:rPr>
    </w:lvl>
  </w:abstractNum>
  <w:abstractNum w:abstractNumId="15" w15:restartNumberingAfterBreak="0">
    <w:nsid w:val="3D27415F"/>
    <w:multiLevelType w:val="hybridMultilevel"/>
    <w:tmpl w:val="4040272A"/>
    <w:lvl w:ilvl="0" w:tplc="B372BC54">
      <w:start w:val="1"/>
      <w:numFmt w:val="bullet"/>
      <w:lvlText w:val=""/>
      <w:lvlJc w:val="left"/>
      <w:pPr>
        <w:ind w:left="720" w:hanging="360"/>
      </w:pPr>
      <w:rPr>
        <w:rFonts w:ascii="Symbol" w:hAnsi="Symbol" w:hint="default"/>
      </w:rPr>
    </w:lvl>
    <w:lvl w:ilvl="1" w:tplc="5A56E868" w:tentative="1">
      <w:start w:val="1"/>
      <w:numFmt w:val="bullet"/>
      <w:lvlText w:val="o"/>
      <w:lvlJc w:val="left"/>
      <w:pPr>
        <w:ind w:left="1440" w:hanging="360"/>
      </w:pPr>
      <w:rPr>
        <w:rFonts w:ascii="Courier New" w:hAnsi="Courier New" w:cs="Courier New" w:hint="default"/>
      </w:rPr>
    </w:lvl>
    <w:lvl w:ilvl="2" w:tplc="6B10BA22" w:tentative="1">
      <w:start w:val="1"/>
      <w:numFmt w:val="bullet"/>
      <w:lvlText w:val=""/>
      <w:lvlJc w:val="left"/>
      <w:pPr>
        <w:ind w:left="2160" w:hanging="360"/>
      </w:pPr>
      <w:rPr>
        <w:rFonts w:ascii="Wingdings" w:hAnsi="Wingdings" w:hint="default"/>
      </w:rPr>
    </w:lvl>
    <w:lvl w:ilvl="3" w:tplc="1E88C752" w:tentative="1">
      <w:start w:val="1"/>
      <w:numFmt w:val="bullet"/>
      <w:lvlText w:val=""/>
      <w:lvlJc w:val="left"/>
      <w:pPr>
        <w:ind w:left="2880" w:hanging="360"/>
      </w:pPr>
      <w:rPr>
        <w:rFonts w:ascii="Symbol" w:hAnsi="Symbol" w:hint="default"/>
      </w:rPr>
    </w:lvl>
    <w:lvl w:ilvl="4" w:tplc="300C8FE2" w:tentative="1">
      <w:start w:val="1"/>
      <w:numFmt w:val="bullet"/>
      <w:lvlText w:val="o"/>
      <w:lvlJc w:val="left"/>
      <w:pPr>
        <w:ind w:left="3600" w:hanging="360"/>
      </w:pPr>
      <w:rPr>
        <w:rFonts w:ascii="Courier New" w:hAnsi="Courier New" w:cs="Courier New" w:hint="default"/>
      </w:rPr>
    </w:lvl>
    <w:lvl w:ilvl="5" w:tplc="38322BE6" w:tentative="1">
      <w:start w:val="1"/>
      <w:numFmt w:val="bullet"/>
      <w:lvlText w:val=""/>
      <w:lvlJc w:val="left"/>
      <w:pPr>
        <w:ind w:left="4320" w:hanging="360"/>
      </w:pPr>
      <w:rPr>
        <w:rFonts w:ascii="Wingdings" w:hAnsi="Wingdings" w:hint="default"/>
      </w:rPr>
    </w:lvl>
    <w:lvl w:ilvl="6" w:tplc="8AC2D6CC" w:tentative="1">
      <w:start w:val="1"/>
      <w:numFmt w:val="bullet"/>
      <w:lvlText w:val=""/>
      <w:lvlJc w:val="left"/>
      <w:pPr>
        <w:ind w:left="5040" w:hanging="360"/>
      </w:pPr>
      <w:rPr>
        <w:rFonts w:ascii="Symbol" w:hAnsi="Symbol" w:hint="default"/>
      </w:rPr>
    </w:lvl>
    <w:lvl w:ilvl="7" w:tplc="023AE14A" w:tentative="1">
      <w:start w:val="1"/>
      <w:numFmt w:val="bullet"/>
      <w:lvlText w:val="o"/>
      <w:lvlJc w:val="left"/>
      <w:pPr>
        <w:ind w:left="5760" w:hanging="360"/>
      </w:pPr>
      <w:rPr>
        <w:rFonts w:ascii="Courier New" w:hAnsi="Courier New" w:cs="Courier New" w:hint="default"/>
      </w:rPr>
    </w:lvl>
    <w:lvl w:ilvl="8" w:tplc="97A065FA" w:tentative="1">
      <w:start w:val="1"/>
      <w:numFmt w:val="bullet"/>
      <w:lvlText w:val=""/>
      <w:lvlJc w:val="left"/>
      <w:pPr>
        <w:ind w:left="6480" w:hanging="360"/>
      </w:pPr>
      <w:rPr>
        <w:rFonts w:ascii="Wingdings" w:hAnsi="Wingdings" w:hint="default"/>
      </w:rPr>
    </w:lvl>
  </w:abstractNum>
  <w:abstractNum w:abstractNumId="16" w15:restartNumberingAfterBreak="0">
    <w:nsid w:val="52735000"/>
    <w:multiLevelType w:val="hybridMultilevel"/>
    <w:tmpl w:val="CB40CE2C"/>
    <w:lvl w:ilvl="0" w:tplc="8F482850">
      <w:numFmt w:val="bullet"/>
      <w:lvlText w:val="–"/>
      <w:lvlJc w:val="left"/>
      <w:pPr>
        <w:ind w:left="720" w:hanging="360"/>
      </w:pPr>
      <w:rPr>
        <w:rFonts w:ascii="Times New Roman" w:eastAsia="Times New Roman" w:hAnsi="Times New Roman" w:cs="Times New Roman" w:hint="default"/>
      </w:rPr>
    </w:lvl>
    <w:lvl w:ilvl="1" w:tplc="E6945D6C" w:tentative="1">
      <w:start w:val="1"/>
      <w:numFmt w:val="bullet"/>
      <w:lvlText w:val="o"/>
      <w:lvlJc w:val="left"/>
      <w:pPr>
        <w:ind w:left="1440" w:hanging="360"/>
      </w:pPr>
      <w:rPr>
        <w:rFonts w:ascii="Courier New" w:hAnsi="Courier New" w:cs="Courier New" w:hint="default"/>
      </w:rPr>
    </w:lvl>
    <w:lvl w:ilvl="2" w:tplc="51CEBE5C" w:tentative="1">
      <w:start w:val="1"/>
      <w:numFmt w:val="bullet"/>
      <w:lvlText w:val=""/>
      <w:lvlJc w:val="left"/>
      <w:pPr>
        <w:ind w:left="2160" w:hanging="360"/>
      </w:pPr>
      <w:rPr>
        <w:rFonts w:ascii="Wingdings" w:hAnsi="Wingdings" w:hint="default"/>
      </w:rPr>
    </w:lvl>
    <w:lvl w:ilvl="3" w:tplc="776E3FBC" w:tentative="1">
      <w:start w:val="1"/>
      <w:numFmt w:val="bullet"/>
      <w:lvlText w:val=""/>
      <w:lvlJc w:val="left"/>
      <w:pPr>
        <w:ind w:left="2880" w:hanging="360"/>
      </w:pPr>
      <w:rPr>
        <w:rFonts w:ascii="Symbol" w:hAnsi="Symbol" w:hint="default"/>
      </w:rPr>
    </w:lvl>
    <w:lvl w:ilvl="4" w:tplc="7E449E0A" w:tentative="1">
      <w:start w:val="1"/>
      <w:numFmt w:val="bullet"/>
      <w:lvlText w:val="o"/>
      <w:lvlJc w:val="left"/>
      <w:pPr>
        <w:ind w:left="3600" w:hanging="360"/>
      </w:pPr>
      <w:rPr>
        <w:rFonts w:ascii="Courier New" w:hAnsi="Courier New" w:cs="Courier New" w:hint="default"/>
      </w:rPr>
    </w:lvl>
    <w:lvl w:ilvl="5" w:tplc="7F207EEE" w:tentative="1">
      <w:start w:val="1"/>
      <w:numFmt w:val="bullet"/>
      <w:lvlText w:val=""/>
      <w:lvlJc w:val="left"/>
      <w:pPr>
        <w:ind w:left="4320" w:hanging="360"/>
      </w:pPr>
      <w:rPr>
        <w:rFonts w:ascii="Wingdings" w:hAnsi="Wingdings" w:hint="default"/>
      </w:rPr>
    </w:lvl>
    <w:lvl w:ilvl="6" w:tplc="F110ACDC" w:tentative="1">
      <w:start w:val="1"/>
      <w:numFmt w:val="bullet"/>
      <w:lvlText w:val=""/>
      <w:lvlJc w:val="left"/>
      <w:pPr>
        <w:ind w:left="5040" w:hanging="360"/>
      </w:pPr>
      <w:rPr>
        <w:rFonts w:ascii="Symbol" w:hAnsi="Symbol" w:hint="default"/>
      </w:rPr>
    </w:lvl>
    <w:lvl w:ilvl="7" w:tplc="E7A43C38" w:tentative="1">
      <w:start w:val="1"/>
      <w:numFmt w:val="bullet"/>
      <w:lvlText w:val="o"/>
      <w:lvlJc w:val="left"/>
      <w:pPr>
        <w:ind w:left="5760" w:hanging="360"/>
      </w:pPr>
      <w:rPr>
        <w:rFonts w:ascii="Courier New" w:hAnsi="Courier New" w:cs="Courier New" w:hint="default"/>
      </w:rPr>
    </w:lvl>
    <w:lvl w:ilvl="8" w:tplc="97726736" w:tentative="1">
      <w:start w:val="1"/>
      <w:numFmt w:val="bullet"/>
      <w:lvlText w:val=""/>
      <w:lvlJc w:val="left"/>
      <w:pPr>
        <w:ind w:left="6480" w:hanging="360"/>
      </w:pPr>
      <w:rPr>
        <w:rFonts w:ascii="Wingdings" w:hAnsi="Wingdings" w:hint="default"/>
      </w:rPr>
    </w:lvl>
  </w:abstractNum>
  <w:abstractNum w:abstractNumId="17" w15:restartNumberingAfterBreak="0">
    <w:nsid w:val="53D31F24"/>
    <w:multiLevelType w:val="hybridMultilevel"/>
    <w:tmpl w:val="A6E05460"/>
    <w:lvl w:ilvl="0" w:tplc="E138E798">
      <w:numFmt w:val="bullet"/>
      <w:lvlText w:val="–"/>
      <w:lvlJc w:val="left"/>
      <w:pPr>
        <w:ind w:left="720" w:hanging="360"/>
      </w:pPr>
      <w:rPr>
        <w:rFonts w:ascii="Times New Roman" w:eastAsia="Times New Roman" w:hAnsi="Times New Roman" w:cs="Times New Roman" w:hint="default"/>
      </w:rPr>
    </w:lvl>
    <w:lvl w:ilvl="1" w:tplc="63369BBC" w:tentative="1">
      <w:start w:val="1"/>
      <w:numFmt w:val="bullet"/>
      <w:lvlText w:val="o"/>
      <w:lvlJc w:val="left"/>
      <w:pPr>
        <w:ind w:left="1440" w:hanging="360"/>
      </w:pPr>
      <w:rPr>
        <w:rFonts w:ascii="Courier New" w:hAnsi="Courier New" w:cs="Courier New" w:hint="default"/>
      </w:rPr>
    </w:lvl>
    <w:lvl w:ilvl="2" w:tplc="113EC63E" w:tentative="1">
      <w:start w:val="1"/>
      <w:numFmt w:val="bullet"/>
      <w:lvlText w:val=""/>
      <w:lvlJc w:val="left"/>
      <w:pPr>
        <w:ind w:left="2160" w:hanging="360"/>
      </w:pPr>
      <w:rPr>
        <w:rFonts w:ascii="Wingdings" w:hAnsi="Wingdings" w:hint="default"/>
      </w:rPr>
    </w:lvl>
    <w:lvl w:ilvl="3" w:tplc="C8A4F622" w:tentative="1">
      <w:start w:val="1"/>
      <w:numFmt w:val="bullet"/>
      <w:lvlText w:val=""/>
      <w:lvlJc w:val="left"/>
      <w:pPr>
        <w:ind w:left="2880" w:hanging="360"/>
      </w:pPr>
      <w:rPr>
        <w:rFonts w:ascii="Symbol" w:hAnsi="Symbol" w:hint="default"/>
      </w:rPr>
    </w:lvl>
    <w:lvl w:ilvl="4" w:tplc="0016B852" w:tentative="1">
      <w:start w:val="1"/>
      <w:numFmt w:val="bullet"/>
      <w:lvlText w:val="o"/>
      <w:lvlJc w:val="left"/>
      <w:pPr>
        <w:ind w:left="3600" w:hanging="360"/>
      </w:pPr>
      <w:rPr>
        <w:rFonts w:ascii="Courier New" w:hAnsi="Courier New" w:cs="Courier New" w:hint="default"/>
      </w:rPr>
    </w:lvl>
    <w:lvl w:ilvl="5" w:tplc="908E2A1A" w:tentative="1">
      <w:start w:val="1"/>
      <w:numFmt w:val="bullet"/>
      <w:lvlText w:val=""/>
      <w:lvlJc w:val="left"/>
      <w:pPr>
        <w:ind w:left="4320" w:hanging="360"/>
      </w:pPr>
      <w:rPr>
        <w:rFonts w:ascii="Wingdings" w:hAnsi="Wingdings" w:hint="default"/>
      </w:rPr>
    </w:lvl>
    <w:lvl w:ilvl="6" w:tplc="8922536A" w:tentative="1">
      <w:start w:val="1"/>
      <w:numFmt w:val="bullet"/>
      <w:lvlText w:val=""/>
      <w:lvlJc w:val="left"/>
      <w:pPr>
        <w:ind w:left="5040" w:hanging="360"/>
      </w:pPr>
      <w:rPr>
        <w:rFonts w:ascii="Symbol" w:hAnsi="Symbol" w:hint="default"/>
      </w:rPr>
    </w:lvl>
    <w:lvl w:ilvl="7" w:tplc="63C0323A" w:tentative="1">
      <w:start w:val="1"/>
      <w:numFmt w:val="bullet"/>
      <w:lvlText w:val="o"/>
      <w:lvlJc w:val="left"/>
      <w:pPr>
        <w:ind w:left="5760" w:hanging="360"/>
      </w:pPr>
      <w:rPr>
        <w:rFonts w:ascii="Courier New" w:hAnsi="Courier New" w:cs="Courier New" w:hint="default"/>
      </w:rPr>
    </w:lvl>
    <w:lvl w:ilvl="8" w:tplc="662889C0" w:tentative="1">
      <w:start w:val="1"/>
      <w:numFmt w:val="bullet"/>
      <w:lvlText w:val=""/>
      <w:lvlJc w:val="left"/>
      <w:pPr>
        <w:ind w:left="6480" w:hanging="360"/>
      </w:pPr>
      <w:rPr>
        <w:rFonts w:ascii="Wingdings" w:hAnsi="Wingdings" w:hint="default"/>
      </w:rPr>
    </w:lvl>
  </w:abstractNum>
  <w:abstractNum w:abstractNumId="18" w15:restartNumberingAfterBreak="0">
    <w:nsid w:val="589F10E9"/>
    <w:multiLevelType w:val="hybridMultilevel"/>
    <w:tmpl w:val="BD7499D8"/>
    <w:lvl w:ilvl="0" w:tplc="6FDCBD4A">
      <w:start w:val="1"/>
      <w:numFmt w:val="bullet"/>
      <w:lvlText w:val=""/>
      <w:lvlJc w:val="left"/>
      <w:pPr>
        <w:ind w:left="720" w:hanging="360"/>
      </w:pPr>
      <w:rPr>
        <w:rFonts w:ascii="Symbol" w:hAnsi="Symbol" w:hint="default"/>
      </w:rPr>
    </w:lvl>
    <w:lvl w:ilvl="1" w:tplc="6B2CE870" w:tentative="1">
      <w:start w:val="1"/>
      <w:numFmt w:val="bullet"/>
      <w:lvlText w:val="o"/>
      <w:lvlJc w:val="left"/>
      <w:pPr>
        <w:ind w:left="1440" w:hanging="360"/>
      </w:pPr>
      <w:rPr>
        <w:rFonts w:ascii="Courier New" w:hAnsi="Courier New" w:cs="Courier New" w:hint="default"/>
      </w:rPr>
    </w:lvl>
    <w:lvl w:ilvl="2" w:tplc="C15ED058" w:tentative="1">
      <w:start w:val="1"/>
      <w:numFmt w:val="bullet"/>
      <w:lvlText w:val=""/>
      <w:lvlJc w:val="left"/>
      <w:pPr>
        <w:ind w:left="2160" w:hanging="360"/>
      </w:pPr>
      <w:rPr>
        <w:rFonts w:ascii="Wingdings" w:hAnsi="Wingdings" w:hint="default"/>
      </w:rPr>
    </w:lvl>
    <w:lvl w:ilvl="3" w:tplc="63947AB8" w:tentative="1">
      <w:start w:val="1"/>
      <w:numFmt w:val="bullet"/>
      <w:lvlText w:val=""/>
      <w:lvlJc w:val="left"/>
      <w:pPr>
        <w:ind w:left="2880" w:hanging="360"/>
      </w:pPr>
      <w:rPr>
        <w:rFonts w:ascii="Symbol" w:hAnsi="Symbol" w:hint="default"/>
      </w:rPr>
    </w:lvl>
    <w:lvl w:ilvl="4" w:tplc="54188816" w:tentative="1">
      <w:start w:val="1"/>
      <w:numFmt w:val="bullet"/>
      <w:lvlText w:val="o"/>
      <w:lvlJc w:val="left"/>
      <w:pPr>
        <w:ind w:left="3600" w:hanging="360"/>
      </w:pPr>
      <w:rPr>
        <w:rFonts w:ascii="Courier New" w:hAnsi="Courier New" w:cs="Courier New" w:hint="default"/>
      </w:rPr>
    </w:lvl>
    <w:lvl w:ilvl="5" w:tplc="1AB86F56" w:tentative="1">
      <w:start w:val="1"/>
      <w:numFmt w:val="bullet"/>
      <w:lvlText w:val=""/>
      <w:lvlJc w:val="left"/>
      <w:pPr>
        <w:ind w:left="4320" w:hanging="360"/>
      </w:pPr>
      <w:rPr>
        <w:rFonts w:ascii="Wingdings" w:hAnsi="Wingdings" w:hint="default"/>
      </w:rPr>
    </w:lvl>
    <w:lvl w:ilvl="6" w:tplc="8FF8A2BC" w:tentative="1">
      <w:start w:val="1"/>
      <w:numFmt w:val="bullet"/>
      <w:lvlText w:val=""/>
      <w:lvlJc w:val="left"/>
      <w:pPr>
        <w:ind w:left="5040" w:hanging="360"/>
      </w:pPr>
      <w:rPr>
        <w:rFonts w:ascii="Symbol" w:hAnsi="Symbol" w:hint="default"/>
      </w:rPr>
    </w:lvl>
    <w:lvl w:ilvl="7" w:tplc="6F069E82" w:tentative="1">
      <w:start w:val="1"/>
      <w:numFmt w:val="bullet"/>
      <w:lvlText w:val="o"/>
      <w:lvlJc w:val="left"/>
      <w:pPr>
        <w:ind w:left="5760" w:hanging="360"/>
      </w:pPr>
      <w:rPr>
        <w:rFonts w:ascii="Courier New" w:hAnsi="Courier New" w:cs="Courier New" w:hint="default"/>
      </w:rPr>
    </w:lvl>
    <w:lvl w:ilvl="8" w:tplc="755CD55A" w:tentative="1">
      <w:start w:val="1"/>
      <w:numFmt w:val="bullet"/>
      <w:lvlText w:val=""/>
      <w:lvlJc w:val="left"/>
      <w:pPr>
        <w:ind w:left="6480" w:hanging="360"/>
      </w:pPr>
      <w:rPr>
        <w:rFonts w:ascii="Wingdings" w:hAnsi="Wingdings" w:hint="default"/>
      </w:rPr>
    </w:lvl>
  </w:abstractNum>
  <w:abstractNum w:abstractNumId="19" w15:restartNumberingAfterBreak="0">
    <w:nsid w:val="5B3D0595"/>
    <w:multiLevelType w:val="hybridMultilevel"/>
    <w:tmpl w:val="C5FCDC30"/>
    <w:lvl w:ilvl="0" w:tplc="92C86D56">
      <w:start w:val="1"/>
      <w:numFmt w:val="bullet"/>
      <w:lvlText w:val=""/>
      <w:lvlJc w:val="left"/>
      <w:pPr>
        <w:ind w:left="720" w:hanging="360"/>
      </w:pPr>
      <w:rPr>
        <w:rFonts w:ascii="Symbol" w:hAnsi="Symbol" w:hint="default"/>
      </w:rPr>
    </w:lvl>
    <w:lvl w:ilvl="1" w:tplc="D77C4C16" w:tentative="1">
      <w:start w:val="1"/>
      <w:numFmt w:val="bullet"/>
      <w:lvlText w:val="o"/>
      <w:lvlJc w:val="left"/>
      <w:pPr>
        <w:ind w:left="1440" w:hanging="360"/>
      </w:pPr>
      <w:rPr>
        <w:rFonts w:ascii="Courier New" w:hAnsi="Courier New" w:cs="Courier New" w:hint="default"/>
      </w:rPr>
    </w:lvl>
    <w:lvl w:ilvl="2" w:tplc="6FA22F3A" w:tentative="1">
      <w:start w:val="1"/>
      <w:numFmt w:val="bullet"/>
      <w:lvlText w:val=""/>
      <w:lvlJc w:val="left"/>
      <w:pPr>
        <w:ind w:left="2160" w:hanging="360"/>
      </w:pPr>
      <w:rPr>
        <w:rFonts w:ascii="Wingdings" w:hAnsi="Wingdings" w:hint="default"/>
      </w:rPr>
    </w:lvl>
    <w:lvl w:ilvl="3" w:tplc="4762E950" w:tentative="1">
      <w:start w:val="1"/>
      <w:numFmt w:val="bullet"/>
      <w:lvlText w:val=""/>
      <w:lvlJc w:val="left"/>
      <w:pPr>
        <w:ind w:left="2880" w:hanging="360"/>
      </w:pPr>
      <w:rPr>
        <w:rFonts w:ascii="Symbol" w:hAnsi="Symbol" w:hint="default"/>
      </w:rPr>
    </w:lvl>
    <w:lvl w:ilvl="4" w:tplc="645EEEA2" w:tentative="1">
      <w:start w:val="1"/>
      <w:numFmt w:val="bullet"/>
      <w:lvlText w:val="o"/>
      <w:lvlJc w:val="left"/>
      <w:pPr>
        <w:ind w:left="3600" w:hanging="360"/>
      </w:pPr>
      <w:rPr>
        <w:rFonts w:ascii="Courier New" w:hAnsi="Courier New" w:cs="Courier New" w:hint="default"/>
      </w:rPr>
    </w:lvl>
    <w:lvl w:ilvl="5" w:tplc="5D6C7F66" w:tentative="1">
      <w:start w:val="1"/>
      <w:numFmt w:val="bullet"/>
      <w:lvlText w:val=""/>
      <w:lvlJc w:val="left"/>
      <w:pPr>
        <w:ind w:left="4320" w:hanging="360"/>
      </w:pPr>
      <w:rPr>
        <w:rFonts w:ascii="Wingdings" w:hAnsi="Wingdings" w:hint="default"/>
      </w:rPr>
    </w:lvl>
    <w:lvl w:ilvl="6" w:tplc="05E47A2E" w:tentative="1">
      <w:start w:val="1"/>
      <w:numFmt w:val="bullet"/>
      <w:lvlText w:val=""/>
      <w:lvlJc w:val="left"/>
      <w:pPr>
        <w:ind w:left="5040" w:hanging="360"/>
      </w:pPr>
      <w:rPr>
        <w:rFonts w:ascii="Symbol" w:hAnsi="Symbol" w:hint="default"/>
      </w:rPr>
    </w:lvl>
    <w:lvl w:ilvl="7" w:tplc="BDD88CFE" w:tentative="1">
      <w:start w:val="1"/>
      <w:numFmt w:val="bullet"/>
      <w:lvlText w:val="o"/>
      <w:lvlJc w:val="left"/>
      <w:pPr>
        <w:ind w:left="5760" w:hanging="360"/>
      </w:pPr>
      <w:rPr>
        <w:rFonts w:ascii="Courier New" w:hAnsi="Courier New" w:cs="Courier New" w:hint="default"/>
      </w:rPr>
    </w:lvl>
    <w:lvl w:ilvl="8" w:tplc="5D4451EA" w:tentative="1">
      <w:start w:val="1"/>
      <w:numFmt w:val="bullet"/>
      <w:lvlText w:val=""/>
      <w:lvlJc w:val="left"/>
      <w:pPr>
        <w:ind w:left="6480" w:hanging="360"/>
      </w:pPr>
      <w:rPr>
        <w:rFonts w:ascii="Wingdings" w:hAnsi="Wingdings" w:hint="default"/>
      </w:rPr>
    </w:lvl>
  </w:abstractNum>
  <w:abstractNum w:abstractNumId="20" w15:restartNumberingAfterBreak="0">
    <w:nsid w:val="5D537AD1"/>
    <w:multiLevelType w:val="hybridMultilevel"/>
    <w:tmpl w:val="DB4EBC54"/>
    <w:lvl w:ilvl="0" w:tplc="A80C6A6A">
      <w:numFmt w:val="bullet"/>
      <w:lvlText w:val=""/>
      <w:lvlJc w:val="left"/>
      <w:pPr>
        <w:ind w:left="420" w:hanging="360"/>
      </w:pPr>
      <w:rPr>
        <w:rFonts w:ascii="Symbol" w:eastAsia="Times New Roman" w:hAnsi="Symbol" w:cs="Times New Roman" w:hint="default"/>
      </w:rPr>
    </w:lvl>
    <w:lvl w:ilvl="1" w:tplc="066CCFD2" w:tentative="1">
      <w:start w:val="1"/>
      <w:numFmt w:val="bullet"/>
      <w:lvlText w:val="o"/>
      <w:lvlJc w:val="left"/>
      <w:pPr>
        <w:tabs>
          <w:tab w:val="num" w:pos="1440"/>
        </w:tabs>
        <w:ind w:left="1440" w:hanging="360"/>
      </w:pPr>
      <w:rPr>
        <w:rFonts w:ascii="Courier New" w:hAnsi="Courier New" w:cs="Courier New" w:hint="default"/>
      </w:rPr>
    </w:lvl>
    <w:lvl w:ilvl="2" w:tplc="55C026D8" w:tentative="1">
      <w:start w:val="1"/>
      <w:numFmt w:val="bullet"/>
      <w:lvlText w:val=""/>
      <w:lvlJc w:val="left"/>
      <w:pPr>
        <w:tabs>
          <w:tab w:val="num" w:pos="2160"/>
        </w:tabs>
        <w:ind w:left="2160" w:hanging="360"/>
      </w:pPr>
      <w:rPr>
        <w:rFonts w:ascii="Wingdings" w:hAnsi="Wingdings" w:hint="default"/>
      </w:rPr>
    </w:lvl>
    <w:lvl w:ilvl="3" w:tplc="A1026410" w:tentative="1">
      <w:start w:val="1"/>
      <w:numFmt w:val="bullet"/>
      <w:lvlText w:val=""/>
      <w:lvlJc w:val="left"/>
      <w:pPr>
        <w:tabs>
          <w:tab w:val="num" w:pos="2880"/>
        </w:tabs>
        <w:ind w:left="2880" w:hanging="360"/>
      </w:pPr>
      <w:rPr>
        <w:rFonts w:ascii="Symbol" w:hAnsi="Symbol" w:hint="default"/>
      </w:rPr>
    </w:lvl>
    <w:lvl w:ilvl="4" w:tplc="2F786464" w:tentative="1">
      <w:start w:val="1"/>
      <w:numFmt w:val="bullet"/>
      <w:lvlText w:val="o"/>
      <w:lvlJc w:val="left"/>
      <w:pPr>
        <w:tabs>
          <w:tab w:val="num" w:pos="3600"/>
        </w:tabs>
        <w:ind w:left="3600" w:hanging="360"/>
      </w:pPr>
      <w:rPr>
        <w:rFonts w:ascii="Courier New" w:hAnsi="Courier New" w:cs="Courier New" w:hint="default"/>
      </w:rPr>
    </w:lvl>
    <w:lvl w:ilvl="5" w:tplc="EA600E2A" w:tentative="1">
      <w:start w:val="1"/>
      <w:numFmt w:val="bullet"/>
      <w:lvlText w:val=""/>
      <w:lvlJc w:val="left"/>
      <w:pPr>
        <w:tabs>
          <w:tab w:val="num" w:pos="4320"/>
        </w:tabs>
        <w:ind w:left="4320" w:hanging="360"/>
      </w:pPr>
      <w:rPr>
        <w:rFonts w:ascii="Wingdings" w:hAnsi="Wingdings" w:hint="default"/>
      </w:rPr>
    </w:lvl>
    <w:lvl w:ilvl="6" w:tplc="BCD6DC58" w:tentative="1">
      <w:start w:val="1"/>
      <w:numFmt w:val="bullet"/>
      <w:lvlText w:val=""/>
      <w:lvlJc w:val="left"/>
      <w:pPr>
        <w:tabs>
          <w:tab w:val="num" w:pos="5040"/>
        </w:tabs>
        <w:ind w:left="5040" w:hanging="360"/>
      </w:pPr>
      <w:rPr>
        <w:rFonts w:ascii="Symbol" w:hAnsi="Symbol" w:hint="default"/>
      </w:rPr>
    </w:lvl>
    <w:lvl w:ilvl="7" w:tplc="A8F07270" w:tentative="1">
      <w:start w:val="1"/>
      <w:numFmt w:val="bullet"/>
      <w:lvlText w:val="o"/>
      <w:lvlJc w:val="left"/>
      <w:pPr>
        <w:tabs>
          <w:tab w:val="num" w:pos="5760"/>
        </w:tabs>
        <w:ind w:left="5760" w:hanging="360"/>
      </w:pPr>
      <w:rPr>
        <w:rFonts w:ascii="Courier New" w:hAnsi="Courier New" w:cs="Courier New" w:hint="default"/>
      </w:rPr>
    </w:lvl>
    <w:lvl w:ilvl="8" w:tplc="D3DAC8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0942"/>
    <w:multiLevelType w:val="hybridMultilevel"/>
    <w:tmpl w:val="90DCECC0"/>
    <w:lvl w:ilvl="0" w:tplc="B8CE320E">
      <w:start w:val="1"/>
      <w:numFmt w:val="bullet"/>
      <w:lvlText w:val=""/>
      <w:lvlJc w:val="left"/>
      <w:pPr>
        <w:ind w:left="720" w:hanging="360"/>
      </w:pPr>
      <w:rPr>
        <w:rFonts w:ascii="Symbol" w:hAnsi="Symbol" w:hint="default"/>
      </w:rPr>
    </w:lvl>
    <w:lvl w:ilvl="1" w:tplc="B28429E8" w:tentative="1">
      <w:start w:val="1"/>
      <w:numFmt w:val="bullet"/>
      <w:lvlText w:val="o"/>
      <w:lvlJc w:val="left"/>
      <w:pPr>
        <w:ind w:left="1440" w:hanging="360"/>
      </w:pPr>
      <w:rPr>
        <w:rFonts w:ascii="Courier New" w:hAnsi="Courier New" w:cs="Courier New" w:hint="default"/>
      </w:rPr>
    </w:lvl>
    <w:lvl w:ilvl="2" w:tplc="EFBA59FA" w:tentative="1">
      <w:start w:val="1"/>
      <w:numFmt w:val="bullet"/>
      <w:lvlText w:val=""/>
      <w:lvlJc w:val="left"/>
      <w:pPr>
        <w:ind w:left="2160" w:hanging="360"/>
      </w:pPr>
      <w:rPr>
        <w:rFonts w:ascii="Wingdings" w:hAnsi="Wingdings" w:hint="default"/>
      </w:rPr>
    </w:lvl>
    <w:lvl w:ilvl="3" w:tplc="477CCAF0" w:tentative="1">
      <w:start w:val="1"/>
      <w:numFmt w:val="bullet"/>
      <w:lvlText w:val=""/>
      <w:lvlJc w:val="left"/>
      <w:pPr>
        <w:ind w:left="2880" w:hanging="360"/>
      </w:pPr>
      <w:rPr>
        <w:rFonts w:ascii="Symbol" w:hAnsi="Symbol" w:hint="default"/>
      </w:rPr>
    </w:lvl>
    <w:lvl w:ilvl="4" w:tplc="FBAEEB50" w:tentative="1">
      <w:start w:val="1"/>
      <w:numFmt w:val="bullet"/>
      <w:lvlText w:val="o"/>
      <w:lvlJc w:val="left"/>
      <w:pPr>
        <w:ind w:left="3600" w:hanging="360"/>
      </w:pPr>
      <w:rPr>
        <w:rFonts w:ascii="Courier New" w:hAnsi="Courier New" w:cs="Courier New" w:hint="default"/>
      </w:rPr>
    </w:lvl>
    <w:lvl w:ilvl="5" w:tplc="0A5CE54C" w:tentative="1">
      <w:start w:val="1"/>
      <w:numFmt w:val="bullet"/>
      <w:lvlText w:val=""/>
      <w:lvlJc w:val="left"/>
      <w:pPr>
        <w:ind w:left="4320" w:hanging="360"/>
      </w:pPr>
      <w:rPr>
        <w:rFonts w:ascii="Wingdings" w:hAnsi="Wingdings" w:hint="default"/>
      </w:rPr>
    </w:lvl>
    <w:lvl w:ilvl="6" w:tplc="22FA3652" w:tentative="1">
      <w:start w:val="1"/>
      <w:numFmt w:val="bullet"/>
      <w:lvlText w:val=""/>
      <w:lvlJc w:val="left"/>
      <w:pPr>
        <w:ind w:left="5040" w:hanging="360"/>
      </w:pPr>
      <w:rPr>
        <w:rFonts w:ascii="Symbol" w:hAnsi="Symbol" w:hint="default"/>
      </w:rPr>
    </w:lvl>
    <w:lvl w:ilvl="7" w:tplc="612C56B4" w:tentative="1">
      <w:start w:val="1"/>
      <w:numFmt w:val="bullet"/>
      <w:lvlText w:val="o"/>
      <w:lvlJc w:val="left"/>
      <w:pPr>
        <w:ind w:left="5760" w:hanging="360"/>
      </w:pPr>
      <w:rPr>
        <w:rFonts w:ascii="Courier New" w:hAnsi="Courier New" w:cs="Courier New" w:hint="default"/>
      </w:rPr>
    </w:lvl>
    <w:lvl w:ilvl="8" w:tplc="A82EA028" w:tentative="1">
      <w:start w:val="1"/>
      <w:numFmt w:val="bullet"/>
      <w:lvlText w:val=""/>
      <w:lvlJc w:val="left"/>
      <w:pPr>
        <w:ind w:left="6480" w:hanging="360"/>
      </w:pPr>
      <w:rPr>
        <w:rFonts w:ascii="Wingdings" w:hAnsi="Wingdings" w:hint="default"/>
      </w:rPr>
    </w:lvl>
  </w:abstractNum>
  <w:abstractNum w:abstractNumId="22" w15:restartNumberingAfterBreak="0">
    <w:nsid w:val="61E84F52"/>
    <w:multiLevelType w:val="hybridMultilevel"/>
    <w:tmpl w:val="81BCA6F8"/>
    <w:lvl w:ilvl="0" w:tplc="6B24E1CE">
      <w:numFmt w:val="bullet"/>
      <w:lvlText w:val=""/>
      <w:lvlJc w:val="left"/>
      <w:pPr>
        <w:ind w:left="420" w:hanging="360"/>
      </w:pPr>
      <w:rPr>
        <w:rFonts w:ascii="Symbol" w:eastAsia="Times New Roman" w:hAnsi="Symbol" w:cs="Times New Roman" w:hint="default"/>
      </w:rPr>
    </w:lvl>
    <w:lvl w:ilvl="1" w:tplc="5136EC6A" w:tentative="1">
      <w:start w:val="1"/>
      <w:numFmt w:val="bullet"/>
      <w:lvlText w:val="o"/>
      <w:lvlJc w:val="left"/>
      <w:pPr>
        <w:tabs>
          <w:tab w:val="num" w:pos="1440"/>
        </w:tabs>
        <w:ind w:left="1440" w:hanging="360"/>
      </w:pPr>
      <w:rPr>
        <w:rFonts w:ascii="Courier New" w:hAnsi="Courier New" w:cs="Courier New" w:hint="default"/>
      </w:rPr>
    </w:lvl>
    <w:lvl w:ilvl="2" w:tplc="425E99AE" w:tentative="1">
      <w:start w:val="1"/>
      <w:numFmt w:val="bullet"/>
      <w:lvlText w:val=""/>
      <w:lvlJc w:val="left"/>
      <w:pPr>
        <w:tabs>
          <w:tab w:val="num" w:pos="2160"/>
        </w:tabs>
        <w:ind w:left="2160" w:hanging="360"/>
      </w:pPr>
      <w:rPr>
        <w:rFonts w:ascii="Wingdings" w:hAnsi="Wingdings" w:hint="default"/>
      </w:rPr>
    </w:lvl>
    <w:lvl w:ilvl="3" w:tplc="1FC8AA38" w:tentative="1">
      <w:start w:val="1"/>
      <w:numFmt w:val="bullet"/>
      <w:lvlText w:val=""/>
      <w:lvlJc w:val="left"/>
      <w:pPr>
        <w:tabs>
          <w:tab w:val="num" w:pos="2880"/>
        </w:tabs>
        <w:ind w:left="2880" w:hanging="360"/>
      </w:pPr>
      <w:rPr>
        <w:rFonts w:ascii="Symbol" w:hAnsi="Symbol" w:hint="default"/>
      </w:rPr>
    </w:lvl>
    <w:lvl w:ilvl="4" w:tplc="D9400518" w:tentative="1">
      <w:start w:val="1"/>
      <w:numFmt w:val="bullet"/>
      <w:lvlText w:val="o"/>
      <w:lvlJc w:val="left"/>
      <w:pPr>
        <w:tabs>
          <w:tab w:val="num" w:pos="3600"/>
        </w:tabs>
        <w:ind w:left="3600" w:hanging="360"/>
      </w:pPr>
      <w:rPr>
        <w:rFonts w:ascii="Courier New" w:hAnsi="Courier New" w:cs="Courier New" w:hint="default"/>
      </w:rPr>
    </w:lvl>
    <w:lvl w:ilvl="5" w:tplc="C584D4E2" w:tentative="1">
      <w:start w:val="1"/>
      <w:numFmt w:val="bullet"/>
      <w:lvlText w:val=""/>
      <w:lvlJc w:val="left"/>
      <w:pPr>
        <w:tabs>
          <w:tab w:val="num" w:pos="4320"/>
        </w:tabs>
        <w:ind w:left="4320" w:hanging="360"/>
      </w:pPr>
      <w:rPr>
        <w:rFonts w:ascii="Wingdings" w:hAnsi="Wingdings" w:hint="default"/>
      </w:rPr>
    </w:lvl>
    <w:lvl w:ilvl="6" w:tplc="9410B3EE" w:tentative="1">
      <w:start w:val="1"/>
      <w:numFmt w:val="bullet"/>
      <w:lvlText w:val=""/>
      <w:lvlJc w:val="left"/>
      <w:pPr>
        <w:tabs>
          <w:tab w:val="num" w:pos="5040"/>
        </w:tabs>
        <w:ind w:left="5040" w:hanging="360"/>
      </w:pPr>
      <w:rPr>
        <w:rFonts w:ascii="Symbol" w:hAnsi="Symbol" w:hint="default"/>
      </w:rPr>
    </w:lvl>
    <w:lvl w:ilvl="7" w:tplc="67861FB2" w:tentative="1">
      <w:start w:val="1"/>
      <w:numFmt w:val="bullet"/>
      <w:lvlText w:val="o"/>
      <w:lvlJc w:val="left"/>
      <w:pPr>
        <w:tabs>
          <w:tab w:val="num" w:pos="5760"/>
        </w:tabs>
        <w:ind w:left="5760" w:hanging="360"/>
      </w:pPr>
      <w:rPr>
        <w:rFonts w:ascii="Courier New" w:hAnsi="Courier New" w:cs="Courier New" w:hint="default"/>
      </w:rPr>
    </w:lvl>
    <w:lvl w:ilvl="8" w:tplc="6172BE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B245CF"/>
    <w:multiLevelType w:val="hybridMultilevel"/>
    <w:tmpl w:val="B7F83A4A"/>
    <w:lvl w:ilvl="0" w:tplc="6A3E534A">
      <w:start w:val="1"/>
      <w:numFmt w:val="lowerLetter"/>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060F3E">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18412A">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F82EE8">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81B62">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06A376">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C06CB0">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3E2DEC">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5E1062">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74C1104"/>
    <w:multiLevelType w:val="hybridMultilevel"/>
    <w:tmpl w:val="E99E0AAA"/>
    <w:lvl w:ilvl="0" w:tplc="49A0F0A2">
      <w:start w:val="1"/>
      <w:numFmt w:val="bullet"/>
      <w:lvlText w:val="–"/>
      <w:lvlJc w:val="left"/>
      <w:pPr>
        <w:ind w:left="720" w:hanging="360"/>
      </w:pPr>
      <w:rPr>
        <w:rFonts w:ascii="Times New Roman" w:eastAsia="Times New Roman" w:hAnsi="Times New Roman" w:cs="Times New Roman" w:hint="default"/>
      </w:rPr>
    </w:lvl>
    <w:lvl w:ilvl="1" w:tplc="3C82A6C2" w:tentative="1">
      <w:start w:val="1"/>
      <w:numFmt w:val="bullet"/>
      <w:lvlText w:val="o"/>
      <w:lvlJc w:val="left"/>
      <w:pPr>
        <w:ind w:left="1440" w:hanging="360"/>
      </w:pPr>
      <w:rPr>
        <w:rFonts w:ascii="Courier New" w:hAnsi="Courier New" w:cs="Courier New" w:hint="default"/>
      </w:rPr>
    </w:lvl>
    <w:lvl w:ilvl="2" w:tplc="F7C86DF0" w:tentative="1">
      <w:start w:val="1"/>
      <w:numFmt w:val="bullet"/>
      <w:lvlText w:val=""/>
      <w:lvlJc w:val="left"/>
      <w:pPr>
        <w:ind w:left="2160" w:hanging="360"/>
      </w:pPr>
      <w:rPr>
        <w:rFonts w:ascii="Wingdings" w:hAnsi="Wingdings" w:hint="default"/>
      </w:rPr>
    </w:lvl>
    <w:lvl w:ilvl="3" w:tplc="FA809C28" w:tentative="1">
      <w:start w:val="1"/>
      <w:numFmt w:val="bullet"/>
      <w:lvlText w:val=""/>
      <w:lvlJc w:val="left"/>
      <w:pPr>
        <w:ind w:left="2880" w:hanging="360"/>
      </w:pPr>
      <w:rPr>
        <w:rFonts w:ascii="Symbol" w:hAnsi="Symbol" w:hint="default"/>
      </w:rPr>
    </w:lvl>
    <w:lvl w:ilvl="4" w:tplc="2D78C7D2" w:tentative="1">
      <w:start w:val="1"/>
      <w:numFmt w:val="bullet"/>
      <w:lvlText w:val="o"/>
      <w:lvlJc w:val="left"/>
      <w:pPr>
        <w:ind w:left="3600" w:hanging="360"/>
      </w:pPr>
      <w:rPr>
        <w:rFonts w:ascii="Courier New" w:hAnsi="Courier New" w:cs="Courier New" w:hint="default"/>
      </w:rPr>
    </w:lvl>
    <w:lvl w:ilvl="5" w:tplc="4BC4302A" w:tentative="1">
      <w:start w:val="1"/>
      <w:numFmt w:val="bullet"/>
      <w:lvlText w:val=""/>
      <w:lvlJc w:val="left"/>
      <w:pPr>
        <w:ind w:left="4320" w:hanging="360"/>
      </w:pPr>
      <w:rPr>
        <w:rFonts w:ascii="Wingdings" w:hAnsi="Wingdings" w:hint="default"/>
      </w:rPr>
    </w:lvl>
    <w:lvl w:ilvl="6" w:tplc="102E3AB8" w:tentative="1">
      <w:start w:val="1"/>
      <w:numFmt w:val="bullet"/>
      <w:lvlText w:val=""/>
      <w:lvlJc w:val="left"/>
      <w:pPr>
        <w:ind w:left="5040" w:hanging="360"/>
      </w:pPr>
      <w:rPr>
        <w:rFonts w:ascii="Symbol" w:hAnsi="Symbol" w:hint="default"/>
      </w:rPr>
    </w:lvl>
    <w:lvl w:ilvl="7" w:tplc="EF2C2B60" w:tentative="1">
      <w:start w:val="1"/>
      <w:numFmt w:val="bullet"/>
      <w:lvlText w:val="o"/>
      <w:lvlJc w:val="left"/>
      <w:pPr>
        <w:ind w:left="5760" w:hanging="360"/>
      </w:pPr>
      <w:rPr>
        <w:rFonts w:ascii="Courier New" w:hAnsi="Courier New" w:cs="Courier New" w:hint="default"/>
      </w:rPr>
    </w:lvl>
    <w:lvl w:ilvl="8" w:tplc="903483A0" w:tentative="1">
      <w:start w:val="1"/>
      <w:numFmt w:val="bullet"/>
      <w:lvlText w:val=""/>
      <w:lvlJc w:val="left"/>
      <w:pPr>
        <w:ind w:left="6480" w:hanging="360"/>
      </w:pPr>
      <w:rPr>
        <w:rFonts w:ascii="Wingdings" w:hAnsi="Wingdings" w:hint="default"/>
      </w:rPr>
    </w:lvl>
  </w:abstractNum>
  <w:abstractNum w:abstractNumId="25" w15:restartNumberingAfterBreak="0">
    <w:nsid w:val="70C74D5B"/>
    <w:multiLevelType w:val="hybridMultilevel"/>
    <w:tmpl w:val="D4F8B810"/>
    <w:lvl w:ilvl="0" w:tplc="026E90BE">
      <w:start w:val="1"/>
      <w:numFmt w:val="bullet"/>
      <w:lvlText w:val=""/>
      <w:lvlJc w:val="left"/>
      <w:pPr>
        <w:ind w:left="1800" w:hanging="360"/>
      </w:pPr>
      <w:rPr>
        <w:rFonts w:ascii="Symbol" w:hAnsi="Symbol" w:hint="default"/>
      </w:rPr>
    </w:lvl>
    <w:lvl w:ilvl="1" w:tplc="6592EF48" w:tentative="1">
      <w:start w:val="1"/>
      <w:numFmt w:val="bullet"/>
      <w:lvlText w:val="o"/>
      <w:lvlJc w:val="left"/>
      <w:pPr>
        <w:ind w:left="2520" w:hanging="360"/>
      </w:pPr>
      <w:rPr>
        <w:rFonts w:ascii="Courier New" w:hAnsi="Courier New" w:cs="Courier New" w:hint="default"/>
      </w:rPr>
    </w:lvl>
    <w:lvl w:ilvl="2" w:tplc="2D708F3A" w:tentative="1">
      <w:start w:val="1"/>
      <w:numFmt w:val="bullet"/>
      <w:lvlText w:val=""/>
      <w:lvlJc w:val="left"/>
      <w:pPr>
        <w:ind w:left="3240" w:hanging="360"/>
      </w:pPr>
      <w:rPr>
        <w:rFonts w:ascii="Wingdings" w:hAnsi="Wingdings" w:hint="default"/>
      </w:rPr>
    </w:lvl>
    <w:lvl w:ilvl="3" w:tplc="100871A8" w:tentative="1">
      <w:start w:val="1"/>
      <w:numFmt w:val="bullet"/>
      <w:lvlText w:val=""/>
      <w:lvlJc w:val="left"/>
      <w:pPr>
        <w:ind w:left="3960" w:hanging="360"/>
      </w:pPr>
      <w:rPr>
        <w:rFonts w:ascii="Symbol" w:hAnsi="Symbol" w:hint="default"/>
      </w:rPr>
    </w:lvl>
    <w:lvl w:ilvl="4" w:tplc="B924456E" w:tentative="1">
      <w:start w:val="1"/>
      <w:numFmt w:val="bullet"/>
      <w:lvlText w:val="o"/>
      <w:lvlJc w:val="left"/>
      <w:pPr>
        <w:ind w:left="4680" w:hanging="360"/>
      </w:pPr>
      <w:rPr>
        <w:rFonts w:ascii="Courier New" w:hAnsi="Courier New" w:cs="Courier New" w:hint="default"/>
      </w:rPr>
    </w:lvl>
    <w:lvl w:ilvl="5" w:tplc="09F2FAE4" w:tentative="1">
      <w:start w:val="1"/>
      <w:numFmt w:val="bullet"/>
      <w:lvlText w:val=""/>
      <w:lvlJc w:val="left"/>
      <w:pPr>
        <w:ind w:left="5400" w:hanging="360"/>
      </w:pPr>
      <w:rPr>
        <w:rFonts w:ascii="Wingdings" w:hAnsi="Wingdings" w:hint="default"/>
      </w:rPr>
    </w:lvl>
    <w:lvl w:ilvl="6" w:tplc="A10A9AE4" w:tentative="1">
      <w:start w:val="1"/>
      <w:numFmt w:val="bullet"/>
      <w:lvlText w:val=""/>
      <w:lvlJc w:val="left"/>
      <w:pPr>
        <w:ind w:left="6120" w:hanging="360"/>
      </w:pPr>
      <w:rPr>
        <w:rFonts w:ascii="Symbol" w:hAnsi="Symbol" w:hint="default"/>
      </w:rPr>
    </w:lvl>
    <w:lvl w:ilvl="7" w:tplc="9D18229C" w:tentative="1">
      <w:start w:val="1"/>
      <w:numFmt w:val="bullet"/>
      <w:lvlText w:val="o"/>
      <w:lvlJc w:val="left"/>
      <w:pPr>
        <w:ind w:left="6840" w:hanging="360"/>
      </w:pPr>
      <w:rPr>
        <w:rFonts w:ascii="Courier New" w:hAnsi="Courier New" w:cs="Courier New" w:hint="default"/>
      </w:rPr>
    </w:lvl>
    <w:lvl w:ilvl="8" w:tplc="251604F6" w:tentative="1">
      <w:start w:val="1"/>
      <w:numFmt w:val="bullet"/>
      <w:lvlText w:val=""/>
      <w:lvlJc w:val="left"/>
      <w:pPr>
        <w:ind w:left="7560" w:hanging="360"/>
      </w:pPr>
      <w:rPr>
        <w:rFonts w:ascii="Wingdings" w:hAnsi="Wingdings" w:hint="default"/>
      </w:rPr>
    </w:lvl>
  </w:abstractNum>
  <w:abstractNum w:abstractNumId="26" w15:restartNumberingAfterBreak="0">
    <w:nsid w:val="74827B71"/>
    <w:multiLevelType w:val="hybridMultilevel"/>
    <w:tmpl w:val="EE04941C"/>
    <w:lvl w:ilvl="0" w:tplc="2A9619CA">
      <w:numFmt w:val="bullet"/>
      <w:lvlText w:val=""/>
      <w:lvlJc w:val="left"/>
      <w:pPr>
        <w:ind w:left="420" w:hanging="360"/>
      </w:pPr>
      <w:rPr>
        <w:rFonts w:ascii="Symbol" w:eastAsia="Times New Roman" w:hAnsi="Symbol" w:cs="Times New Roman" w:hint="default"/>
      </w:rPr>
    </w:lvl>
    <w:lvl w:ilvl="1" w:tplc="B2F04BD6" w:tentative="1">
      <w:start w:val="1"/>
      <w:numFmt w:val="bullet"/>
      <w:lvlText w:val="o"/>
      <w:lvlJc w:val="left"/>
      <w:pPr>
        <w:tabs>
          <w:tab w:val="num" w:pos="1440"/>
        </w:tabs>
        <w:ind w:left="1440" w:hanging="360"/>
      </w:pPr>
      <w:rPr>
        <w:rFonts w:ascii="Courier New" w:hAnsi="Courier New" w:cs="Courier New" w:hint="default"/>
      </w:rPr>
    </w:lvl>
    <w:lvl w:ilvl="2" w:tplc="D1C4E470" w:tentative="1">
      <w:start w:val="1"/>
      <w:numFmt w:val="bullet"/>
      <w:lvlText w:val=""/>
      <w:lvlJc w:val="left"/>
      <w:pPr>
        <w:tabs>
          <w:tab w:val="num" w:pos="2160"/>
        </w:tabs>
        <w:ind w:left="2160" w:hanging="360"/>
      </w:pPr>
      <w:rPr>
        <w:rFonts w:ascii="Wingdings" w:hAnsi="Wingdings" w:hint="default"/>
      </w:rPr>
    </w:lvl>
    <w:lvl w:ilvl="3" w:tplc="44BAE26A" w:tentative="1">
      <w:start w:val="1"/>
      <w:numFmt w:val="bullet"/>
      <w:lvlText w:val=""/>
      <w:lvlJc w:val="left"/>
      <w:pPr>
        <w:tabs>
          <w:tab w:val="num" w:pos="2880"/>
        </w:tabs>
        <w:ind w:left="2880" w:hanging="360"/>
      </w:pPr>
      <w:rPr>
        <w:rFonts w:ascii="Symbol" w:hAnsi="Symbol" w:hint="default"/>
      </w:rPr>
    </w:lvl>
    <w:lvl w:ilvl="4" w:tplc="93BC2584" w:tentative="1">
      <w:start w:val="1"/>
      <w:numFmt w:val="bullet"/>
      <w:lvlText w:val="o"/>
      <w:lvlJc w:val="left"/>
      <w:pPr>
        <w:tabs>
          <w:tab w:val="num" w:pos="3600"/>
        </w:tabs>
        <w:ind w:left="3600" w:hanging="360"/>
      </w:pPr>
      <w:rPr>
        <w:rFonts w:ascii="Courier New" w:hAnsi="Courier New" w:cs="Courier New" w:hint="default"/>
      </w:rPr>
    </w:lvl>
    <w:lvl w:ilvl="5" w:tplc="9C805416" w:tentative="1">
      <w:start w:val="1"/>
      <w:numFmt w:val="bullet"/>
      <w:lvlText w:val=""/>
      <w:lvlJc w:val="left"/>
      <w:pPr>
        <w:tabs>
          <w:tab w:val="num" w:pos="4320"/>
        </w:tabs>
        <w:ind w:left="4320" w:hanging="360"/>
      </w:pPr>
      <w:rPr>
        <w:rFonts w:ascii="Wingdings" w:hAnsi="Wingdings" w:hint="default"/>
      </w:rPr>
    </w:lvl>
    <w:lvl w:ilvl="6" w:tplc="5ADC1E0A" w:tentative="1">
      <w:start w:val="1"/>
      <w:numFmt w:val="bullet"/>
      <w:lvlText w:val=""/>
      <w:lvlJc w:val="left"/>
      <w:pPr>
        <w:tabs>
          <w:tab w:val="num" w:pos="5040"/>
        </w:tabs>
        <w:ind w:left="5040" w:hanging="360"/>
      </w:pPr>
      <w:rPr>
        <w:rFonts w:ascii="Symbol" w:hAnsi="Symbol" w:hint="default"/>
      </w:rPr>
    </w:lvl>
    <w:lvl w:ilvl="7" w:tplc="EBC81C8C" w:tentative="1">
      <w:start w:val="1"/>
      <w:numFmt w:val="bullet"/>
      <w:lvlText w:val="o"/>
      <w:lvlJc w:val="left"/>
      <w:pPr>
        <w:tabs>
          <w:tab w:val="num" w:pos="5760"/>
        </w:tabs>
        <w:ind w:left="5760" w:hanging="360"/>
      </w:pPr>
      <w:rPr>
        <w:rFonts w:ascii="Courier New" w:hAnsi="Courier New" w:cs="Courier New" w:hint="default"/>
      </w:rPr>
    </w:lvl>
    <w:lvl w:ilvl="8" w:tplc="819C9BD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F7ADF"/>
    <w:multiLevelType w:val="hybridMultilevel"/>
    <w:tmpl w:val="A4D06184"/>
    <w:lvl w:ilvl="0" w:tplc="6DC0FA60">
      <w:numFmt w:val="bullet"/>
      <w:lvlText w:val="–"/>
      <w:lvlJc w:val="left"/>
      <w:pPr>
        <w:ind w:left="720" w:hanging="360"/>
      </w:pPr>
      <w:rPr>
        <w:rFonts w:ascii="Times New Roman" w:eastAsia="Times New Roman" w:hAnsi="Times New Roman" w:cs="Times New Roman" w:hint="default"/>
      </w:rPr>
    </w:lvl>
    <w:lvl w:ilvl="1" w:tplc="B6A0C91C" w:tentative="1">
      <w:start w:val="1"/>
      <w:numFmt w:val="bullet"/>
      <w:lvlText w:val="o"/>
      <w:lvlJc w:val="left"/>
      <w:pPr>
        <w:ind w:left="1440" w:hanging="360"/>
      </w:pPr>
      <w:rPr>
        <w:rFonts w:ascii="Courier New" w:hAnsi="Courier New" w:cs="Courier New" w:hint="default"/>
      </w:rPr>
    </w:lvl>
    <w:lvl w:ilvl="2" w:tplc="ECBA2366" w:tentative="1">
      <w:start w:val="1"/>
      <w:numFmt w:val="bullet"/>
      <w:lvlText w:val=""/>
      <w:lvlJc w:val="left"/>
      <w:pPr>
        <w:ind w:left="2160" w:hanging="360"/>
      </w:pPr>
      <w:rPr>
        <w:rFonts w:ascii="Wingdings" w:hAnsi="Wingdings" w:hint="default"/>
      </w:rPr>
    </w:lvl>
    <w:lvl w:ilvl="3" w:tplc="83C49DDC" w:tentative="1">
      <w:start w:val="1"/>
      <w:numFmt w:val="bullet"/>
      <w:lvlText w:val=""/>
      <w:lvlJc w:val="left"/>
      <w:pPr>
        <w:ind w:left="2880" w:hanging="360"/>
      </w:pPr>
      <w:rPr>
        <w:rFonts w:ascii="Symbol" w:hAnsi="Symbol" w:hint="default"/>
      </w:rPr>
    </w:lvl>
    <w:lvl w:ilvl="4" w:tplc="72280390" w:tentative="1">
      <w:start w:val="1"/>
      <w:numFmt w:val="bullet"/>
      <w:lvlText w:val="o"/>
      <w:lvlJc w:val="left"/>
      <w:pPr>
        <w:ind w:left="3600" w:hanging="360"/>
      </w:pPr>
      <w:rPr>
        <w:rFonts w:ascii="Courier New" w:hAnsi="Courier New" w:cs="Courier New" w:hint="default"/>
      </w:rPr>
    </w:lvl>
    <w:lvl w:ilvl="5" w:tplc="1D8CCD42" w:tentative="1">
      <w:start w:val="1"/>
      <w:numFmt w:val="bullet"/>
      <w:lvlText w:val=""/>
      <w:lvlJc w:val="left"/>
      <w:pPr>
        <w:ind w:left="4320" w:hanging="360"/>
      </w:pPr>
      <w:rPr>
        <w:rFonts w:ascii="Wingdings" w:hAnsi="Wingdings" w:hint="default"/>
      </w:rPr>
    </w:lvl>
    <w:lvl w:ilvl="6" w:tplc="01C2E90A" w:tentative="1">
      <w:start w:val="1"/>
      <w:numFmt w:val="bullet"/>
      <w:lvlText w:val=""/>
      <w:lvlJc w:val="left"/>
      <w:pPr>
        <w:ind w:left="5040" w:hanging="360"/>
      </w:pPr>
      <w:rPr>
        <w:rFonts w:ascii="Symbol" w:hAnsi="Symbol" w:hint="default"/>
      </w:rPr>
    </w:lvl>
    <w:lvl w:ilvl="7" w:tplc="D1380C00" w:tentative="1">
      <w:start w:val="1"/>
      <w:numFmt w:val="bullet"/>
      <w:lvlText w:val="o"/>
      <w:lvlJc w:val="left"/>
      <w:pPr>
        <w:ind w:left="5760" w:hanging="360"/>
      </w:pPr>
      <w:rPr>
        <w:rFonts w:ascii="Courier New" w:hAnsi="Courier New" w:cs="Courier New" w:hint="default"/>
      </w:rPr>
    </w:lvl>
    <w:lvl w:ilvl="8" w:tplc="C098FEDC" w:tentative="1">
      <w:start w:val="1"/>
      <w:numFmt w:val="bullet"/>
      <w:lvlText w:val=""/>
      <w:lvlJc w:val="left"/>
      <w:pPr>
        <w:ind w:left="6480" w:hanging="360"/>
      </w:pPr>
      <w:rPr>
        <w:rFonts w:ascii="Wingdings" w:hAnsi="Wingdings" w:hint="default"/>
      </w:rPr>
    </w:lvl>
  </w:abstractNum>
  <w:abstractNum w:abstractNumId="28" w15:restartNumberingAfterBreak="0">
    <w:nsid w:val="7FBF1B9F"/>
    <w:multiLevelType w:val="hybridMultilevel"/>
    <w:tmpl w:val="B050A448"/>
    <w:lvl w:ilvl="0" w:tplc="A1A2365E">
      <w:numFmt w:val="bullet"/>
      <w:lvlText w:val=""/>
      <w:lvlJc w:val="left"/>
      <w:pPr>
        <w:ind w:left="420" w:hanging="360"/>
      </w:pPr>
      <w:rPr>
        <w:rFonts w:ascii="Symbol" w:eastAsia="Times New Roman" w:hAnsi="Symbol" w:cs="Times New Roman" w:hint="default"/>
      </w:rPr>
    </w:lvl>
    <w:lvl w:ilvl="1" w:tplc="114E25A8" w:tentative="1">
      <w:start w:val="1"/>
      <w:numFmt w:val="bullet"/>
      <w:lvlText w:val="o"/>
      <w:lvlJc w:val="left"/>
      <w:pPr>
        <w:tabs>
          <w:tab w:val="num" w:pos="1440"/>
        </w:tabs>
        <w:ind w:left="1440" w:hanging="360"/>
      </w:pPr>
      <w:rPr>
        <w:rFonts w:ascii="Courier New" w:hAnsi="Courier New" w:cs="Courier New" w:hint="default"/>
      </w:rPr>
    </w:lvl>
    <w:lvl w:ilvl="2" w:tplc="0A04AB70" w:tentative="1">
      <w:start w:val="1"/>
      <w:numFmt w:val="bullet"/>
      <w:lvlText w:val=""/>
      <w:lvlJc w:val="left"/>
      <w:pPr>
        <w:tabs>
          <w:tab w:val="num" w:pos="2160"/>
        </w:tabs>
        <w:ind w:left="2160" w:hanging="360"/>
      </w:pPr>
      <w:rPr>
        <w:rFonts w:ascii="Wingdings" w:hAnsi="Wingdings" w:hint="default"/>
      </w:rPr>
    </w:lvl>
    <w:lvl w:ilvl="3" w:tplc="9A24DD0C" w:tentative="1">
      <w:start w:val="1"/>
      <w:numFmt w:val="bullet"/>
      <w:lvlText w:val=""/>
      <w:lvlJc w:val="left"/>
      <w:pPr>
        <w:tabs>
          <w:tab w:val="num" w:pos="2880"/>
        </w:tabs>
        <w:ind w:left="2880" w:hanging="360"/>
      </w:pPr>
      <w:rPr>
        <w:rFonts w:ascii="Symbol" w:hAnsi="Symbol" w:hint="default"/>
      </w:rPr>
    </w:lvl>
    <w:lvl w:ilvl="4" w:tplc="B6C2C478" w:tentative="1">
      <w:start w:val="1"/>
      <w:numFmt w:val="bullet"/>
      <w:lvlText w:val="o"/>
      <w:lvlJc w:val="left"/>
      <w:pPr>
        <w:tabs>
          <w:tab w:val="num" w:pos="3600"/>
        </w:tabs>
        <w:ind w:left="3600" w:hanging="360"/>
      </w:pPr>
      <w:rPr>
        <w:rFonts w:ascii="Courier New" w:hAnsi="Courier New" w:cs="Courier New" w:hint="default"/>
      </w:rPr>
    </w:lvl>
    <w:lvl w:ilvl="5" w:tplc="E6ACE69E" w:tentative="1">
      <w:start w:val="1"/>
      <w:numFmt w:val="bullet"/>
      <w:lvlText w:val=""/>
      <w:lvlJc w:val="left"/>
      <w:pPr>
        <w:tabs>
          <w:tab w:val="num" w:pos="4320"/>
        </w:tabs>
        <w:ind w:left="4320" w:hanging="360"/>
      </w:pPr>
      <w:rPr>
        <w:rFonts w:ascii="Wingdings" w:hAnsi="Wingdings" w:hint="default"/>
      </w:rPr>
    </w:lvl>
    <w:lvl w:ilvl="6" w:tplc="CE623286" w:tentative="1">
      <w:start w:val="1"/>
      <w:numFmt w:val="bullet"/>
      <w:lvlText w:val=""/>
      <w:lvlJc w:val="left"/>
      <w:pPr>
        <w:tabs>
          <w:tab w:val="num" w:pos="5040"/>
        </w:tabs>
        <w:ind w:left="5040" w:hanging="360"/>
      </w:pPr>
      <w:rPr>
        <w:rFonts w:ascii="Symbol" w:hAnsi="Symbol" w:hint="default"/>
      </w:rPr>
    </w:lvl>
    <w:lvl w:ilvl="7" w:tplc="8E3E46C0" w:tentative="1">
      <w:start w:val="1"/>
      <w:numFmt w:val="bullet"/>
      <w:lvlText w:val="o"/>
      <w:lvlJc w:val="left"/>
      <w:pPr>
        <w:tabs>
          <w:tab w:val="num" w:pos="5760"/>
        </w:tabs>
        <w:ind w:left="5760" w:hanging="360"/>
      </w:pPr>
      <w:rPr>
        <w:rFonts w:ascii="Courier New" w:hAnsi="Courier New" w:cs="Courier New" w:hint="default"/>
      </w:rPr>
    </w:lvl>
    <w:lvl w:ilvl="8" w:tplc="8780AE18"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
  </w:num>
  <w:num w:numId="3">
    <w:abstractNumId w:val="4"/>
  </w:num>
  <w:num w:numId="4">
    <w:abstractNumId w:val="22"/>
  </w:num>
  <w:num w:numId="5">
    <w:abstractNumId w:val="28"/>
  </w:num>
  <w:num w:numId="6">
    <w:abstractNumId w:val="8"/>
  </w:num>
  <w:num w:numId="7">
    <w:abstractNumId w:val="26"/>
  </w:num>
  <w:num w:numId="8">
    <w:abstractNumId w:val="10"/>
  </w:num>
  <w:num w:numId="9">
    <w:abstractNumId w:val="19"/>
  </w:num>
  <w:num w:numId="10">
    <w:abstractNumId w:val="11"/>
  </w:num>
  <w:num w:numId="11">
    <w:abstractNumId w:val="18"/>
  </w:num>
  <w:num w:numId="12">
    <w:abstractNumId w:val="21"/>
  </w:num>
  <w:num w:numId="13">
    <w:abstractNumId w:val="24"/>
  </w:num>
  <w:num w:numId="14">
    <w:abstractNumId w:val="15"/>
  </w:num>
  <w:num w:numId="15">
    <w:abstractNumId w:val="1"/>
  </w:num>
  <w:num w:numId="16">
    <w:abstractNumId w:val="27"/>
  </w:num>
  <w:num w:numId="17">
    <w:abstractNumId w:val="17"/>
  </w:num>
  <w:num w:numId="18">
    <w:abstractNumId w:val="16"/>
  </w:num>
  <w:num w:numId="19">
    <w:abstractNumId w:val="9"/>
  </w:num>
  <w:num w:numId="20">
    <w:abstractNumId w:val="3"/>
  </w:num>
  <w:num w:numId="21">
    <w:abstractNumId w:val="13"/>
  </w:num>
  <w:num w:numId="22">
    <w:abstractNumId w:val="7"/>
  </w:num>
  <w:num w:numId="23">
    <w:abstractNumId w:val="25"/>
  </w:num>
  <w:num w:numId="24">
    <w:abstractNumId w:val="14"/>
  </w:num>
  <w:num w:numId="25">
    <w:abstractNumId w:val="0"/>
  </w:num>
  <w:num w:numId="26">
    <w:abstractNumId w:val="5"/>
  </w:num>
  <w:num w:numId="27">
    <w:abstractNumId w:val="23"/>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4C99"/>
    <w:rsid w:val="00010371"/>
    <w:rsid w:val="00015FC0"/>
    <w:rsid w:val="0002049D"/>
    <w:rsid w:val="00022058"/>
    <w:rsid w:val="000264BB"/>
    <w:rsid w:val="00026A9C"/>
    <w:rsid w:val="00033FC1"/>
    <w:rsid w:val="00042999"/>
    <w:rsid w:val="0005238D"/>
    <w:rsid w:val="000852A1"/>
    <w:rsid w:val="000972E6"/>
    <w:rsid w:val="000A0115"/>
    <w:rsid w:val="000A0D71"/>
    <w:rsid w:val="000A15B0"/>
    <w:rsid w:val="000A272B"/>
    <w:rsid w:val="000A74A0"/>
    <w:rsid w:val="000C2C4B"/>
    <w:rsid w:val="000C3EBE"/>
    <w:rsid w:val="000C4C48"/>
    <w:rsid w:val="000C5417"/>
    <w:rsid w:val="000D184E"/>
    <w:rsid w:val="000D457D"/>
    <w:rsid w:val="000E01AB"/>
    <w:rsid w:val="000E153C"/>
    <w:rsid w:val="000E3634"/>
    <w:rsid w:val="000E49F0"/>
    <w:rsid w:val="000E6126"/>
    <w:rsid w:val="000F5505"/>
    <w:rsid w:val="00100406"/>
    <w:rsid w:val="00107A8A"/>
    <w:rsid w:val="00111788"/>
    <w:rsid w:val="001129DE"/>
    <w:rsid w:val="001134CC"/>
    <w:rsid w:val="00120934"/>
    <w:rsid w:val="00123DB5"/>
    <w:rsid w:val="00125232"/>
    <w:rsid w:val="00127040"/>
    <w:rsid w:val="0013233F"/>
    <w:rsid w:val="00132B9A"/>
    <w:rsid w:val="0013336C"/>
    <w:rsid w:val="001368AE"/>
    <w:rsid w:val="00141815"/>
    <w:rsid w:val="00144CCD"/>
    <w:rsid w:val="0014699B"/>
    <w:rsid w:val="0014739A"/>
    <w:rsid w:val="0015490C"/>
    <w:rsid w:val="001573E2"/>
    <w:rsid w:val="0016278D"/>
    <w:rsid w:val="00164E5D"/>
    <w:rsid w:val="001855F0"/>
    <w:rsid w:val="001872CE"/>
    <w:rsid w:val="0019156C"/>
    <w:rsid w:val="001937AD"/>
    <w:rsid w:val="001A2CB2"/>
    <w:rsid w:val="001A3A84"/>
    <w:rsid w:val="001B27CF"/>
    <w:rsid w:val="001B6AEC"/>
    <w:rsid w:val="001D0B84"/>
    <w:rsid w:val="001E5E2A"/>
    <w:rsid w:val="001E6F4C"/>
    <w:rsid w:val="001F16AA"/>
    <w:rsid w:val="00200F3B"/>
    <w:rsid w:val="00203355"/>
    <w:rsid w:val="0020414E"/>
    <w:rsid w:val="00210AB2"/>
    <w:rsid w:val="00211005"/>
    <w:rsid w:val="0021309A"/>
    <w:rsid w:val="00215CBB"/>
    <w:rsid w:val="00217D41"/>
    <w:rsid w:val="00220B35"/>
    <w:rsid w:val="002222A9"/>
    <w:rsid w:val="00222CA6"/>
    <w:rsid w:val="00222CD0"/>
    <w:rsid w:val="00232642"/>
    <w:rsid w:val="00237697"/>
    <w:rsid w:val="002410EA"/>
    <w:rsid w:val="0025019C"/>
    <w:rsid w:val="00250EDB"/>
    <w:rsid w:val="002511DF"/>
    <w:rsid w:val="00253209"/>
    <w:rsid w:val="00256E10"/>
    <w:rsid w:val="00260413"/>
    <w:rsid w:val="00260EBC"/>
    <w:rsid w:val="00264710"/>
    <w:rsid w:val="00264A6E"/>
    <w:rsid w:val="00267567"/>
    <w:rsid w:val="00270B0A"/>
    <w:rsid w:val="00271DC9"/>
    <w:rsid w:val="0027259D"/>
    <w:rsid w:val="002726A1"/>
    <w:rsid w:val="0027428C"/>
    <w:rsid w:val="00274564"/>
    <w:rsid w:val="00280121"/>
    <w:rsid w:val="00281FBE"/>
    <w:rsid w:val="002844B3"/>
    <w:rsid w:val="00290D2E"/>
    <w:rsid w:val="00292715"/>
    <w:rsid w:val="002A591C"/>
    <w:rsid w:val="002B2A2D"/>
    <w:rsid w:val="002B52AC"/>
    <w:rsid w:val="002C10E1"/>
    <w:rsid w:val="002C15EB"/>
    <w:rsid w:val="002C1660"/>
    <w:rsid w:val="002C35A2"/>
    <w:rsid w:val="002C5345"/>
    <w:rsid w:val="002D56B7"/>
    <w:rsid w:val="002E04B7"/>
    <w:rsid w:val="002E0BAD"/>
    <w:rsid w:val="002F4A14"/>
    <w:rsid w:val="003043BF"/>
    <w:rsid w:val="003065D4"/>
    <w:rsid w:val="00320073"/>
    <w:rsid w:val="00323AF8"/>
    <w:rsid w:val="003262DF"/>
    <w:rsid w:val="00332951"/>
    <w:rsid w:val="00337FEF"/>
    <w:rsid w:val="0034555C"/>
    <w:rsid w:val="0034682B"/>
    <w:rsid w:val="00356237"/>
    <w:rsid w:val="0036288F"/>
    <w:rsid w:val="0036336E"/>
    <w:rsid w:val="00365B10"/>
    <w:rsid w:val="00367BA7"/>
    <w:rsid w:val="00372082"/>
    <w:rsid w:val="003761C0"/>
    <w:rsid w:val="00381140"/>
    <w:rsid w:val="003812B2"/>
    <w:rsid w:val="00383CDB"/>
    <w:rsid w:val="00384EFD"/>
    <w:rsid w:val="0038595A"/>
    <w:rsid w:val="00387214"/>
    <w:rsid w:val="003874D2"/>
    <w:rsid w:val="003879F9"/>
    <w:rsid w:val="003976C7"/>
    <w:rsid w:val="003A035E"/>
    <w:rsid w:val="003A577F"/>
    <w:rsid w:val="003B0285"/>
    <w:rsid w:val="003B3A2C"/>
    <w:rsid w:val="003B5367"/>
    <w:rsid w:val="003C07E3"/>
    <w:rsid w:val="003C659E"/>
    <w:rsid w:val="003D2154"/>
    <w:rsid w:val="003D7780"/>
    <w:rsid w:val="003E13CF"/>
    <w:rsid w:val="003E4F5E"/>
    <w:rsid w:val="003F3582"/>
    <w:rsid w:val="003F35E4"/>
    <w:rsid w:val="003F5344"/>
    <w:rsid w:val="003F63E2"/>
    <w:rsid w:val="003F7EDC"/>
    <w:rsid w:val="00401F77"/>
    <w:rsid w:val="00404548"/>
    <w:rsid w:val="0041162E"/>
    <w:rsid w:val="004125D8"/>
    <w:rsid w:val="00416507"/>
    <w:rsid w:val="004200EA"/>
    <w:rsid w:val="0042603B"/>
    <w:rsid w:val="0042786D"/>
    <w:rsid w:val="00433C62"/>
    <w:rsid w:val="00447594"/>
    <w:rsid w:val="004528E1"/>
    <w:rsid w:val="00456B2A"/>
    <w:rsid w:val="00456F01"/>
    <w:rsid w:val="00466527"/>
    <w:rsid w:val="00472EF5"/>
    <w:rsid w:val="00473A2C"/>
    <w:rsid w:val="00481C27"/>
    <w:rsid w:val="0048687C"/>
    <w:rsid w:val="0049207B"/>
    <w:rsid w:val="0049318D"/>
    <w:rsid w:val="004A31B4"/>
    <w:rsid w:val="004A7038"/>
    <w:rsid w:val="004A78BB"/>
    <w:rsid w:val="004C01B6"/>
    <w:rsid w:val="004C1922"/>
    <w:rsid w:val="004C462F"/>
    <w:rsid w:val="004C6613"/>
    <w:rsid w:val="004D49E9"/>
    <w:rsid w:val="004F3663"/>
    <w:rsid w:val="004F45AC"/>
    <w:rsid w:val="00501657"/>
    <w:rsid w:val="00506C9D"/>
    <w:rsid w:val="005071DA"/>
    <w:rsid w:val="0051495F"/>
    <w:rsid w:val="00523D82"/>
    <w:rsid w:val="00531F43"/>
    <w:rsid w:val="00540307"/>
    <w:rsid w:val="00541A00"/>
    <w:rsid w:val="00541FEF"/>
    <w:rsid w:val="005444B2"/>
    <w:rsid w:val="00550AAB"/>
    <w:rsid w:val="00552F31"/>
    <w:rsid w:val="00552F8B"/>
    <w:rsid w:val="00561FE7"/>
    <w:rsid w:val="00566737"/>
    <w:rsid w:val="00567153"/>
    <w:rsid w:val="00575348"/>
    <w:rsid w:val="005869C5"/>
    <w:rsid w:val="005921EA"/>
    <w:rsid w:val="005924F5"/>
    <w:rsid w:val="00593F7B"/>
    <w:rsid w:val="005A3C81"/>
    <w:rsid w:val="005A4780"/>
    <w:rsid w:val="005A4B2F"/>
    <w:rsid w:val="005A5680"/>
    <w:rsid w:val="005A6639"/>
    <w:rsid w:val="005A6914"/>
    <w:rsid w:val="005B3FFE"/>
    <w:rsid w:val="005C1519"/>
    <w:rsid w:val="005C1C4E"/>
    <w:rsid w:val="005C4994"/>
    <w:rsid w:val="005C4A16"/>
    <w:rsid w:val="005D4D1C"/>
    <w:rsid w:val="005D66F3"/>
    <w:rsid w:val="005D68C6"/>
    <w:rsid w:val="005D7EE3"/>
    <w:rsid w:val="005E50DE"/>
    <w:rsid w:val="005E7569"/>
    <w:rsid w:val="005E76DA"/>
    <w:rsid w:val="005F2308"/>
    <w:rsid w:val="005F7097"/>
    <w:rsid w:val="0060364A"/>
    <w:rsid w:val="00604FC8"/>
    <w:rsid w:val="00617843"/>
    <w:rsid w:val="00620F34"/>
    <w:rsid w:val="00622F46"/>
    <w:rsid w:val="00624C1B"/>
    <w:rsid w:val="00625471"/>
    <w:rsid w:val="0062661D"/>
    <w:rsid w:val="00627853"/>
    <w:rsid w:val="00630499"/>
    <w:rsid w:val="00632571"/>
    <w:rsid w:val="00634D0C"/>
    <w:rsid w:val="0065148D"/>
    <w:rsid w:val="00652BCE"/>
    <w:rsid w:val="00652E29"/>
    <w:rsid w:val="00653617"/>
    <w:rsid w:val="0067136B"/>
    <w:rsid w:val="0067502C"/>
    <w:rsid w:val="00691208"/>
    <w:rsid w:val="006938A7"/>
    <w:rsid w:val="006A23C4"/>
    <w:rsid w:val="006A4DC8"/>
    <w:rsid w:val="006A702E"/>
    <w:rsid w:val="006B1751"/>
    <w:rsid w:val="006B7A90"/>
    <w:rsid w:val="006C5F38"/>
    <w:rsid w:val="006C5FFF"/>
    <w:rsid w:val="006D5986"/>
    <w:rsid w:val="006D7D5A"/>
    <w:rsid w:val="006E370C"/>
    <w:rsid w:val="006E4305"/>
    <w:rsid w:val="006E6F1F"/>
    <w:rsid w:val="006F5763"/>
    <w:rsid w:val="00704BAB"/>
    <w:rsid w:val="007104D1"/>
    <w:rsid w:val="007135A6"/>
    <w:rsid w:val="00724DB0"/>
    <w:rsid w:val="00725BD2"/>
    <w:rsid w:val="00726BD3"/>
    <w:rsid w:val="00730461"/>
    <w:rsid w:val="00733A73"/>
    <w:rsid w:val="00733FE5"/>
    <w:rsid w:val="00740E91"/>
    <w:rsid w:val="00746FF2"/>
    <w:rsid w:val="007479AE"/>
    <w:rsid w:val="007544F0"/>
    <w:rsid w:val="00761133"/>
    <w:rsid w:val="00764767"/>
    <w:rsid w:val="00764E84"/>
    <w:rsid w:val="00766202"/>
    <w:rsid w:val="007762F8"/>
    <w:rsid w:val="00783520"/>
    <w:rsid w:val="0078568D"/>
    <w:rsid w:val="007A02D3"/>
    <w:rsid w:val="007A18B1"/>
    <w:rsid w:val="007B011E"/>
    <w:rsid w:val="007C055A"/>
    <w:rsid w:val="007C1693"/>
    <w:rsid w:val="007D03EE"/>
    <w:rsid w:val="007D0E84"/>
    <w:rsid w:val="007D681B"/>
    <w:rsid w:val="007E1D85"/>
    <w:rsid w:val="007F2282"/>
    <w:rsid w:val="00803517"/>
    <w:rsid w:val="00804A48"/>
    <w:rsid w:val="008106A7"/>
    <w:rsid w:val="0081154A"/>
    <w:rsid w:val="00814DFC"/>
    <w:rsid w:val="00820B36"/>
    <w:rsid w:val="00823A55"/>
    <w:rsid w:val="00827BB2"/>
    <w:rsid w:val="008329DA"/>
    <w:rsid w:val="00832A7E"/>
    <w:rsid w:val="008330E7"/>
    <w:rsid w:val="008353A4"/>
    <w:rsid w:val="008407EF"/>
    <w:rsid w:val="008418F5"/>
    <w:rsid w:val="008451C8"/>
    <w:rsid w:val="00847154"/>
    <w:rsid w:val="008477D1"/>
    <w:rsid w:val="0085434F"/>
    <w:rsid w:val="00862FA8"/>
    <w:rsid w:val="0086657B"/>
    <w:rsid w:val="0087104B"/>
    <w:rsid w:val="008725D5"/>
    <w:rsid w:val="00873FF7"/>
    <w:rsid w:val="00874180"/>
    <w:rsid w:val="008832E5"/>
    <w:rsid w:val="008857DB"/>
    <w:rsid w:val="00886CC6"/>
    <w:rsid w:val="008872AB"/>
    <w:rsid w:val="00891EB8"/>
    <w:rsid w:val="0089401D"/>
    <w:rsid w:val="00895628"/>
    <w:rsid w:val="00897669"/>
    <w:rsid w:val="008A4966"/>
    <w:rsid w:val="008B0525"/>
    <w:rsid w:val="008B610D"/>
    <w:rsid w:val="008C0181"/>
    <w:rsid w:val="008C4BF9"/>
    <w:rsid w:val="008C6434"/>
    <w:rsid w:val="008D0B8D"/>
    <w:rsid w:val="008D20BD"/>
    <w:rsid w:val="008D4201"/>
    <w:rsid w:val="008D4451"/>
    <w:rsid w:val="008D62B7"/>
    <w:rsid w:val="008E19AE"/>
    <w:rsid w:val="008E3E5E"/>
    <w:rsid w:val="008E6895"/>
    <w:rsid w:val="008F0721"/>
    <w:rsid w:val="00900B3C"/>
    <w:rsid w:val="00904FB5"/>
    <w:rsid w:val="0091136C"/>
    <w:rsid w:val="009128A3"/>
    <w:rsid w:val="00922806"/>
    <w:rsid w:val="00930188"/>
    <w:rsid w:val="00930D7D"/>
    <w:rsid w:val="00944B87"/>
    <w:rsid w:val="0095047E"/>
    <w:rsid w:val="00956101"/>
    <w:rsid w:val="009561FD"/>
    <w:rsid w:val="00957BAF"/>
    <w:rsid w:val="00962CD6"/>
    <w:rsid w:val="009711FB"/>
    <w:rsid w:val="00974EE1"/>
    <w:rsid w:val="00980ED0"/>
    <w:rsid w:val="00985916"/>
    <w:rsid w:val="00986783"/>
    <w:rsid w:val="00993A60"/>
    <w:rsid w:val="009B014E"/>
    <w:rsid w:val="009B5F6F"/>
    <w:rsid w:val="009B6CC5"/>
    <w:rsid w:val="009D177A"/>
    <w:rsid w:val="009D67EC"/>
    <w:rsid w:val="009D71D5"/>
    <w:rsid w:val="009E2887"/>
    <w:rsid w:val="009E56D6"/>
    <w:rsid w:val="009E5CB9"/>
    <w:rsid w:val="009F07F5"/>
    <w:rsid w:val="009F0942"/>
    <w:rsid w:val="009F22EA"/>
    <w:rsid w:val="009F31F2"/>
    <w:rsid w:val="009F45A5"/>
    <w:rsid w:val="009F5A85"/>
    <w:rsid w:val="009F72B0"/>
    <w:rsid w:val="00A01C2E"/>
    <w:rsid w:val="00A02BB2"/>
    <w:rsid w:val="00A04052"/>
    <w:rsid w:val="00A0709E"/>
    <w:rsid w:val="00A074C5"/>
    <w:rsid w:val="00A07B7D"/>
    <w:rsid w:val="00A12563"/>
    <w:rsid w:val="00A2498C"/>
    <w:rsid w:val="00A24EC8"/>
    <w:rsid w:val="00A26BB4"/>
    <w:rsid w:val="00A300B9"/>
    <w:rsid w:val="00A31019"/>
    <w:rsid w:val="00A31D1C"/>
    <w:rsid w:val="00A53F48"/>
    <w:rsid w:val="00A571D5"/>
    <w:rsid w:val="00A63448"/>
    <w:rsid w:val="00A64919"/>
    <w:rsid w:val="00A8360A"/>
    <w:rsid w:val="00A84EA1"/>
    <w:rsid w:val="00AA1665"/>
    <w:rsid w:val="00AA4618"/>
    <w:rsid w:val="00AA5E2F"/>
    <w:rsid w:val="00AA7317"/>
    <w:rsid w:val="00AA7D06"/>
    <w:rsid w:val="00AB4120"/>
    <w:rsid w:val="00AC2C0B"/>
    <w:rsid w:val="00AC46EB"/>
    <w:rsid w:val="00AC4905"/>
    <w:rsid w:val="00AC7F63"/>
    <w:rsid w:val="00AD087F"/>
    <w:rsid w:val="00AE7922"/>
    <w:rsid w:val="00AF056B"/>
    <w:rsid w:val="00AF6692"/>
    <w:rsid w:val="00B01011"/>
    <w:rsid w:val="00B05BD1"/>
    <w:rsid w:val="00B10089"/>
    <w:rsid w:val="00B1393A"/>
    <w:rsid w:val="00B21CF0"/>
    <w:rsid w:val="00B22E50"/>
    <w:rsid w:val="00B46F30"/>
    <w:rsid w:val="00B51D02"/>
    <w:rsid w:val="00B608C1"/>
    <w:rsid w:val="00B60D3D"/>
    <w:rsid w:val="00B61D95"/>
    <w:rsid w:val="00B6462C"/>
    <w:rsid w:val="00B7231F"/>
    <w:rsid w:val="00B90A1E"/>
    <w:rsid w:val="00B91443"/>
    <w:rsid w:val="00B9187F"/>
    <w:rsid w:val="00BA290F"/>
    <w:rsid w:val="00BA2BF3"/>
    <w:rsid w:val="00BB111F"/>
    <w:rsid w:val="00BB3050"/>
    <w:rsid w:val="00BB7831"/>
    <w:rsid w:val="00BC0A0A"/>
    <w:rsid w:val="00BC31BC"/>
    <w:rsid w:val="00BC55DB"/>
    <w:rsid w:val="00BC6167"/>
    <w:rsid w:val="00BC6A01"/>
    <w:rsid w:val="00BD3717"/>
    <w:rsid w:val="00BE198F"/>
    <w:rsid w:val="00BE4435"/>
    <w:rsid w:val="00BE6B71"/>
    <w:rsid w:val="00C024F8"/>
    <w:rsid w:val="00C06123"/>
    <w:rsid w:val="00C07BB3"/>
    <w:rsid w:val="00C12F16"/>
    <w:rsid w:val="00C13AB9"/>
    <w:rsid w:val="00C153F2"/>
    <w:rsid w:val="00C2000E"/>
    <w:rsid w:val="00C25238"/>
    <w:rsid w:val="00C379C9"/>
    <w:rsid w:val="00C422B8"/>
    <w:rsid w:val="00C473D3"/>
    <w:rsid w:val="00C51BB4"/>
    <w:rsid w:val="00C566D6"/>
    <w:rsid w:val="00C57887"/>
    <w:rsid w:val="00C71E57"/>
    <w:rsid w:val="00C764D9"/>
    <w:rsid w:val="00C77910"/>
    <w:rsid w:val="00C839ED"/>
    <w:rsid w:val="00C84299"/>
    <w:rsid w:val="00C86460"/>
    <w:rsid w:val="00C92F14"/>
    <w:rsid w:val="00C937F3"/>
    <w:rsid w:val="00C94B98"/>
    <w:rsid w:val="00C97365"/>
    <w:rsid w:val="00CA4C1A"/>
    <w:rsid w:val="00CB09FA"/>
    <w:rsid w:val="00CB5854"/>
    <w:rsid w:val="00CC08BA"/>
    <w:rsid w:val="00CC330A"/>
    <w:rsid w:val="00CC386C"/>
    <w:rsid w:val="00CC5727"/>
    <w:rsid w:val="00CC7DBD"/>
    <w:rsid w:val="00CD6935"/>
    <w:rsid w:val="00CE03ED"/>
    <w:rsid w:val="00CE7F7F"/>
    <w:rsid w:val="00CF3849"/>
    <w:rsid w:val="00D0233C"/>
    <w:rsid w:val="00D041C3"/>
    <w:rsid w:val="00D11462"/>
    <w:rsid w:val="00D136FE"/>
    <w:rsid w:val="00D14D61"/>
    <w:rsid w:val="00D22A47"/>
    <w:rsid w:val="00D25CB4"/>
    <w:rsid w:val="00D275FC"/>
    <w:rsid w:val="00D3279D"/>
    <w:rsid w:val="00D3576E"/>
    <w:rsid w:val="00D43297"/>
    <w:rsid w:val="00D46B0B"/>
    <w:rsid w:val="00D5504C"/>
    <w:rsid w:val="00D55ED8"/>
    <w:rsid w:val="00D60C5A"/>
    <w:rsid w:val="00D70DB6"/>
    <w:rsid w:val="00D723BC"/>
    <w:rsid w:val="00D76048"/>
    <w:rsid w:val="00D77C3D"/>
    <w:rsid w:val="00D93C80"/>
    <w:rsid w:val="00D9686A"/>
    <w:rsid w:val="00D96A8F"/>
    <w:rsid w:val="00DA16F7"/>
    <w:rsid w:val="00DA39A9"/>
    <w:rsid w:val="00DA76C9"/>
    <w:rsid w:val="00DB406A"/>
    <w:rsid w:val="00DB7FB0"/>
    <w:rsid w:val="00DC4BA7"/>
    <w:rsid w:val="00DD56FA"/>
    <w:rsid w:val="00DD5E3A"/>
    <w:rsid w:val="00DE4FC7"/>
    <w:rsid w:val="00DF11A7"/>
    <w:rsid w:val="00DF3381"/>
    <w:rsid w:val="00DF3970"/>
    <w:rsid w:val="00DF47EB"/>
    <w:rsid w:val="00DF5CF6"/>
    <w:rsid w:val="00DF7B1F"/>
    <w:rsid w:val="00E211ED"/>
    <w:rsid w:val="00E271CB"/>
    <w:rsid w:val="00E301D0"/>
    <w:rsid w:val="00E317B2"/>
    <w:rsid w:val="00E33FE3"/>
    <w:rsid w:val="00E34FE3"/>
    <w:rsid w:val="00E55D6C"/>
    <w:rsid w:val="00E57396"/>
    <w:rsid w:val="00E75FFF"/>
    <w:rsid w:val="00E81A1B"/>
    <w:rsid w:val="00E81A86"/>
    <w:rsid w:val="00E85A7A"/>
    <w:rsid w:val="00E8607B"/>
    <w:rsid w:val="00E91073"/>
    <w:rsid w:val="00E93583"/>
    <w:rsid w:val="00E96755"/>
    <w:rsid w:val="00EA2F86"/>
    <w:rsid w:val="00EA303C"/>
    <w:rsid w:val="00EA43FC"/>
    <w:rsid w:val="00EA6D39"/>
    <w:rsid w:val="00EB1D97"/>
    <w:rsid w:val="00EB32A3"/>
    <w:rsid w:val="00EB41C1"/>
    <w:rsid w:val="00EC480E"/>
    <w:rsid w:val="00EC4E42"/>
    <w:rsid w:val="00ED1E82"/>
    <w:rsid w:val="00ED4BEF"/>
    <w:rsid w:val="00EE04FB"/>
    <w:rsid w:val="00EE1584"/>
    <w:rsid w:val="00EE4887"/>
    <w:rsid w:val="00EF3F2F"/>
    <w:rsid w:val="00EF4C53"/>
    <w:rsid w:val="00EF56B2"/>
    <w:rsid w:val="00F006F1"/>
    <w:rsid w:val="00F02A03"/>
    <w:rsid w:val="00F03EAF"/>
    <w:rsid w:val="00F05540"/>
    <w:rsid w:val="00F07B7B"/>
    <w:rsid w:val="00F23B95"/>
    <w:rsid w:val="00F27638"/>
    <w:rsid w:val="00F34699"/>
    <w:rsid w:val="00F40388"/>
    <w:rsid w:val="00F42D3C"/>
    <w:rsid w:val="00F455DB"/>
    <w:rsid w:val="00F56F75"/>
    <w:rsid w:val="00F6012B"/>
    <w:rsid w:val="00F60FC5"/>
    <w:rsid w:val="00F63389"/>
    <w:rsid w:val="00F665E0"/>
    <w:rsid w:val="00F8040D"/>
    <w:rsid w:val="00F91977"/>
    <w:rsid w:val="00F97B57"/>
    <w:rsid w:val="00FA4F7C"/>
    <w:rsid w:val="00FA5BCA"/>
    <w:rsid w:val="00FB0456"/>
    <w:rsid w:val="00FB47F4"/>
    <w:rsid w:val="00FC17F4"/>
    <w:rsid w:val="00FD2B12"/>
    <w:rsid w:val="00FD2B9F"/>
    <w:rsid w:val="00FD2C38"/>
    <w:rsid w:val="00FD2F1A"/>
    <w:rsid w:val="00FD6FA9"/>
    <w:rsid w:val="00FE0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593B"/>
  <w15:docId w15:val="{D5D3434E-0BBB-4CC2-A5FC-4EDB41DC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customStyle="1" w:styleId="TableGrid">
    <w:name w:val="TableGrid"/>
    <w:rsid w:val="00A63448"/>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110F-81E3-4A3F-870A-A367241A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8735</Words>
  <Characters>49790</Characters>
  <Application>Microsoft Office Word</Application>
  <DocSecurity>0</DocSecurity>
  <Lines>414</Lines>
  <Paragraphs>116</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58409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2025-06-23T13:38:00Z</dcterms:created>
  <dcterms:modified xsi:type="dcterms:W3CDTF">2025-07-31T08:08:00Z</dcterms:modified>
</cp:coreProperties>
</file>